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67D48" w14:textId="77777777" w:rsidR="002E24DA" w:rsidRDefault="002E24DA">
      <w:pPr>
        <w:widowControl w:val="0"/>
        <w:pBdr>
          <w:top w:val="nil"/>
          <w:left w:val="nil"/>
          <w:bottom w:val="nil"/>
          <w:right w:val="nil"/>
          <w:between w:val="nil"/>
        </w:pBdr>
        <w:rPr>
          <w:rFonts w:ascii="Arial" w:eastAsia="Arial" w:hAnsi="Arial" w:cs="Arial"/>
          <w:color w:val="000000"/>
        </w:rPr>
      </w:pPr>
    </w:p>
    <w:tbl>
      <w:tblPr>
        <w:tblStyle w:val="a"/>
        <w:tblW w:w="15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8"/>
      </w:tblGrid>
      <w:tr w:rsidR="002E24DA" w14:paraId="0D5CA75A" w14:textId="77777777">
        <w:tc>
          <w:tcPr>
            <w:tcW w:w="15268" w:type="dxa"/>
          </w:tcPr>
          <w:p w14:paraId="3DA12B91" w14:textId="77777777" w:rsidR="002E24DA" w:rsidRDefault="00282FF7">
            <w:pPr>
              <w:pStyle w:val="Kop1"/>
              <w:outlineLvl w:val="0"/>
              <w:rPr>
                <w:rFonts w:eastAsia="Calibri" w:cs="Calibri"/>
                <w:b w:val="0"/>
              </w:rPr>
            </w:pPr>
            <w:r>
              <w:rPr>
                <w:rFonts w:eastAsia="Calibri" w:cs="Calibri"/>
                <w:b w:val="0"/>
              </w:rPr>
              <w:t xml:space="preserve"> </w:t>
            </w:r>
            <w:r>
              <w:rPr>
                <w:noProof/>
                <w:lang w:val="en-US" w:eastAsia="en-US"/>
              </w:rPr>
              <w:drawing>
                <wp:anchor distT="0" distB="0" distL="114300" distR="114300" simplePos="0" relativeHeight="251658240" behindDoc="0" locked="0" layoutInCell="1" hidden="0" allowOverlap="1" wp14:anchorId="6AC2D440" wp14:editId="4F5588A5">
                  <wp:simplePos x="0" y="0"/>
                  <wp:positionH relativeFrom="column">
                    <wp:posOffset>168910</wp:posOffset>
                  </wp:positionH>
                  <wp:positionV relativeFrom="paragraph">
                    <wp:posOffset>9525</wp:posOffset>
                  </wp:positionV>
                  <wp:extent cx="1209675" cy="6978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9675" cy="697865"/>
                          </a:xfrm>
                          <a:prstGeom prst="rect">
                            <a:avLst/>
                          </a:prstGeom>
                          <a:ln/>
                        </pic:spPr>
                      </pic:pic>
                    </a:graphicData>
                  </a:graphic>
                </wp:anchor>
              </w:drawing>
            </w:r>
          </w:p>
          <w:p w14:paraId="6B112F9E" w14:textId="4F5CB5FC" w:rsidR="002E24DA" w:rsidRDefault="00282FF7">
            <w:pPr>
              <w:pStyle w:val="Kop1"/>
              <w:outlineLvl w:val="0"/>
              <w:rPr>
                <w:rFonts w:eastAsia="Calibri" w:cs="Calibri"/>
              </w:rPr>
            </w:pPr>
            <w:r>
              <w:rPr>
                <w:rFonts w:eastAsia="Calibri" w:cs="Calibri"/>
                <w:b w:val="0"/>
              </w:rPr>
              <w:t>Overzicht schoolkosten                                                schooljaar:</w:t>
            </w:r>
            <w:r>
              <w:rPr>
                <w:rFonts w:eastAsia="Calibri" w:cs="Calibri"/>
              </w:rPr>
              <w:t xml:space="preserve"> </w:t>
            </w:r>
            <w:r w:rsidR="00A61918">
              <w:rPr>
                <w:rFonts w:eastAsia="Calibri" w:cs="Calibri"/>
              </w:rPr>
              <w:t>2023-2024</w:t>
            </w:r>
          </w:p>
        </w:tc>
      </w:tr>
    </w:tbl>
    <w:p w14:paraId="368CF15A" w14:textId="77777777" w:rsidR="002E24DA" w:rsidRDefault="002E24DA">
      <w:pPr>
        <w:rPr>
          <w:sz w:val="16"/>
          <w:szCs w:val="16"/>
        </w:rPr>
      </w:pPr>
    </w:p>
    <w:tbl>
      <w:tblPr>
        <w:tblStyle w:val="a0"/>
        <w:tblW w:w="15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8"/>
      </w:tblGrid>
      <w:tr w:rsidR="002E24DA" w14:paraId="0B7A8E0F" w14:textId="77777777">
        <w:tc>
          <w:tcPr>
            <w:tcW w:w="15268" w:type="dxa"/>
            <w:shd w:val="clear" w:color="auto" w:fill="BFBFBF"/>
          </w:tcPr>
          <w:p w14:paraId="5813D260" w14:textId="77777777" w:rsidR="002E24DA" w:rsidRDefault="00282FF7">
            <w:pPr>
              <w:pStyle w:val="Kop4"/>
              <w:numPr>
                <w:ilvl w:val="0"/>
                <w:numId w:val="2"/>
              </w:numPr>
              <w:outlineLvl w:val="3"/>
              <w:rPr>
                <w:rFonts w:eastAsia="Calibri" w:cs="Calibri"/>
                <w:sz w:val="28"/>
                <w:szCs w:val="28"/>
              </w:rPr>
            </w:pPr>
            <w:r>
              <w:rPr>
                <w:rFonts w:eastAsia="Calibri" w:cs="Calibri"/>
                <w:sz w:val="28"/>
                <w:szCs w:val="28"/>
              </w:rPr>
              <w:t xml:space="preserve">Kosteloos = </w:t>
            </w:r>
            <w:r>
              <w:rPr>
                <w:rFonts w:eastAsia="Calibri" w:cs="Calibri"/>
                <w:sz w:val="24"/>
                <w:szCs w:val="24"/>
              </w:rPr>
              <w:t xml:space="preserve">Kosten die strikt noodzakelijk zijn voor het behalen van de eindtermen en het nastreven van de ontwikkelingsdoelen. </w:t>
            </w:r>
          </w:p>
        </w:tc>
      </w:tr>
      <w:tr w:rsidR="002E24DA" w14:paraId="28DC891F" w14:textId="77777777">
        <w:tc>
          <w:tcPr>
            <w:tcW w:w="15268" w:type="dxa"/>
            <w:shd w:val="clear" w:color="auto" w:fill="FFFFFF"/>
          </w:tcPr>
          <w:p w14:paraId="77A89F7A" w14:textId="77777777" w:rsidR="002E24DA" w:rsidRDefault="00282FF7">
            <w:pPr>
              <w:pBdr>
                <w:top w:val="nil"/>
                <w:left w:val="nil"/>
                <w:bottom w:val="nil"/>
                <w:right w:val="nil"/>
                <w:between w:val="nil"/>
              </w:pBdr>
              <w:rPr>
                <w:color w:val="000000"/>
                <w:sz w:val="24"/>
                <w:szCs w:val="24"/>
              </w:rPr>
            </w:pPr>
            <w:r>
              <w:rPr>
                <w:color w:val="000000"/>
                <w:sz w:val="24"/>
                <w:szCs w:val="24"/>
              </w:rPr>
              <w:t>Hiervoor mogen geen kosten aan ouders doorgerekend worden.</w:t>
            </w:r>
          </w:p>
          <w:p w14:paraId="1AFAF6D8" w14:textId="77777777" w:rsidR="002E24DA" w:rsidRDefault="00282FF7">
            <w:pPr>
              <w:pBdr>
                <w:top w:val="nil"/>
                <w:left w:val="nil"/>
                <w:bottom w:val="nil"/>
                <w:right w:val="nil"/>
                <w:between w:val="nil"/>
              </w:pBdr>
              <w:rPr>
                <w:i/>
                <w:color w:val="000000"/>
              </w:rPr>
            </w:pPr>
            <w:r>
              <w:rPr>
                <w:color w:val="000000"/>
                <w:sz w:val="24"/>
                <w:szCs w:val="24"/>
              </w:rPr>
              <w:t xml:space="preserve">Om scholen en ouders duidelijkheid te verschaffen werd een lijst samengesteld van wat een basisschool gratis ter beschikking moet stellen van de leerlingen. </w:t>
            </w:r>
            <w:hyperlink r:id="rId9">
              <w:r>
                <w:rPr>
                  <w:color w:val="0000FF"/>
                  <w:sz w:val="24"/>
                  <w:szCs w:val="24"/>
                  <w:u w:val="single"/>
                </w:rPr>
                <w:t>https://onderwijs.vlaanderen.be/lijst-met-gratis-materiaal</w:t>
              </w:r>
            </w:hyperlink>
            <w:r>
              <w:rPr>
                <w:color w:val="000000"/>
                <w:sz w:val="24"/>
                <w:szCs w:val="24"/>
              </w:rPr>
              <w:t xml:space="preserve"> </w:t>
            </w:r>
          </w:p>
        </w:tc>
      </w:tr>
    </w:tbl>
    <w:p w14:paraId="2F853D22" w14:textId="77777777" w:rsidR="002E24DA" w:rsidRDefault="002E24DA">
      <w:pPr>
        <w:rPr>
          <w:sz w:val="16"/>
          <w:szCs w:val="16"/>
        </w:rPr>
      </w:pPr>
    </w:p>
    <w:p w14:paraId="53A2A6FE" w14:textId="77777777" w:rsidR="005F7BC2" w:rsidRDefault="005F7BC2">
      <w:pPr>
        <w:rPr>
          <w:sz w:val="16"/>
          <w:szCs w:val="16"/>
        </w:rPr>
      </w:pPr>
    </w:p>
    <w:p w14:paraId="5CF2F03F" w14:textId="77777777" w:rsidR="005F7BC2" w:rsidRDefault="005F7BC2">
      <w:pPr>
        <w:rPr>
          <w:sz w:val="16"/>
          <w:szCs w:val="16"/>
        </w:rPr>
      </w:pPr>
    </w:p>
    <w:tbl>
      <w:tblPr>
        <w:tblStyle w:val="a1"/>
        <w:tblW w:w="15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7"/>
        <w:gridCol w:w="2260"/>
        <w:gridCol w:w="2251"/>
      </w:tblGrid>
      <w:tr w:rsidR="002E24DA" w14:paraId="4A8FBF75" w14:textId="77777777">
        <w:tc>
          <w:tcPr>
            <w:tcW w:w="15268" w:type="dxa"/>
            <w:gridSpan w:val="3"/>
            <w:shd w:val="clear" w:color="auto" w:fill="BFBFBF"/>
          </w:tcPr>
          <w:p w14:paraId="25871725" w14:textId="77777777" w:rsidR="002E24DA" w:rsidRDefault="00282FF7">
            <w:pPr>
              <w:pStyle w:val="Kop4"/>
              <w:numPr>
                <w:ilvl w:val="0"/>
                <w:numId w:val="2"/>
              </w:numPr>
              <w:outlineLvl w:val="3"/>
              <w:rPr>
                <w:rFonts w:eastAsia="Calibri" w:cs="Calibri"/>
                <w:sz w:val="28"/>
                <w:szCs w:val="28"/>
              </w:rPr>
            </w:pPr>
            <w:r>
              <w:rPr>
                <w:rFonts w:eastAsia="Calibri" w:cs="Calibri"/>
                <w:sz w:val="28"/>
                <w:szCs w:val="28"/>
              </w:rPr>
              <w:t xml:space="preserve">Verplichte kosten </w:t>
            </w:r>
            <w:r>
              <w:rPr>
                <w:rFonts w:eastAsia="Calibri" w:cs="Calibri"/>
                <w:sz w:val="24"/>
                <w:szCs w:val="24"/>
              </w:rPr>
              <w:t>= Kosten die vallen binnen de scherpe maximumfactuur.</w:t>
            </w:r>
          </w:p>
        </w:tc>
      </w:tr>
      <w:tr w:rsidR="002E24DA" w14:paraId="7A24006B" w14:textId="77777777">
        <w:tc>
          <w:tcPr>
            <w:tcW w:w="10757" w:type="dxa"/>
          </w:tcPr>
          <w:p w14:paraId="07B0BD41" w14:textId="77777777" w:rsidR="002E24DA" w:rsidRDefault="002E24DA">
            <w:pPr>
              <w:pStyle w:val="Kop3"/>
              <w:outlineLvl w:val="2"/>
              <w:rPr>
                <w:rFonts w:eastAsia="Calibri" w:cs="Calibri"/>
                <w:sz w:val="24"/>
                <w:szCs w:val="24"/>
              </w:rPr>
            </w:pPr>
          </w:p>
        </w:tc>
        <w:tc>
          <w:tcPr>
            <w:tcW w:w="2260" w:type="dxa"/>
          </w:tcPr>
          <w:p w14:paraId="2259209C" w14:textId="77777777" w:rsidR="002E24DA" w:rsidRDefault="00282FF7">
            <w:pPr>
              <w:pStyle w:val="Kop3"/>
              <w:jc w:val="center"/>
              <w:outlineLvl w:val="2"/>
              <w:rPr>
                <w:rFonts w:eastAsia="Calibri" w:cs="Calibri"/>
              </w:rPr>
            </w:pPr>
            <w:r>
              <w:rPr>
                <w:rFonts w:eastAsia="Calibri" w:cs="Calibri"/>
              </w:rPr>
              <w:t>Kleuteronderwijs</w:t>
            </w:r>
          </w:p>
        </w:tc>
        <w:tc>
          <w:tcPr>
            <w:tcW w:w="2251" w:type="dxa"/>
          </w:tcPr>
          <w:p w14:paraId="5044CAC6" w14:textId="77777777" w:rsidR="002E24DA" w:rsidRDefault="00282FF7">
            <w:pPr>
              <w:pStyle w:val="Kop3"/>
              <w:jc w:val="center"/>
              <w:outlineLvl w:val="2"/>
              <w:rPr>
                <w:rFonts w:eastAsia="Calibri" w:cs="Calibri"/>
              </w:rPr>
            </w:pPr>
            <w:r>
              <w:rPr>
                <w:rFonts w:eastAsia="Calibri" w:cs="Calibri"/>
              </w:rPr>
              <w:t>Lager onderwijs</w:t>
            </w:r>
          </w:p>
        </w:tc>
      </w:tr>
      <w:tr w:rsidR="002E24DA" w14:paraId="00A611E5" w14:textId="77777777">
        <w:trPr>
          <w:trHeight w:val="4806"/>
        </w:trPr>
        <w:tc>
          <w:tcPr>
            <w:tcW w:w="10757" w:type="dxa"/>
            <w:tcBorders>
              <w:top w:val="nil"/>
            </w:tcBorders>
          </w:tcPr>
          <w:p w14:paraId="5230F7B0" w14:textId="77777777" w:rsidR="002E24DA" w:rsidRDefault="00282FF7">
            <w:pPr>
              <w:pBdr>
                <w:top w:val="nil"/>
                <w:left w:val="nil"/>
                <w:bottom w:val="nil"/>
                <w:right w:val="nil"/>
                <w:between w:val="nil"/>
              </w:pBdr>
              <w:rPr>
                <w:color w:val="000000"/>
                <w:sz w:val="24"/>
                <w:szCs w:val="24"/>
              </w:rPr>
            </w:pPr>
            <w:r>
              <w:rPr>
                <w:color w:val="000000"/>
                <w:sz w:val="24"/>
                <w:szCs w:val="24"/>
              </w:rPr>
              <w:t xml:space="preserve">Voor </w:t>
            </w:r>
            <w:r>
              <w:rPr>
                <w:b/>
                <w:color w:val="000000"/>
                <w:sz w:val="24"/>
                <w:szCs w:val="24"/>
              </w:rPr>
              <w:t>activiteiten tijdens de schooltijd</w:t>
            </w:r>
            <w:r>
              <w:rPr>
                <w:color w:val="000000"/>
                <w:sz w:val="24"/>
                <w:szCs w:val="24"/>
              </w:rPr>
              <w:t xml:space="preserve">  die niet noodzakelijk zijn voor het behalen van de eindtermen of ontwikkelingsdoelen (voorbeelden: schoolreis, toneelvoorstelling, culturele uitstap, sportdag, zwemmen - behalve 1 schooljaar gratis zwemmen- ,… ). </w:t>
            </w:r>
          </w:p>
          <w:p w14:paraId="3B9B0DA7" w14:textId="77777777" w:rsidR="002E24DA" w:rsidRDefault="002E24DA">
            <w:pPr>
              <w:pBdr>
                <w:top w:val="nil"/>
                <w:left w:val="nil"/>
                <w:bottom w:val="nil"/>
                <w:right w:val="nil"/>
                <w:between w:val="nil"/>
              </w:pBdr>
              <w:rPr>
                <w:color w:val="000000"/>
                <w:sz w:val="24"/>
                <w:szCs w:val="24"/>
              </w:rPr>
            </w:pPr>
          </w:p>
          <w:p w14:paraId="46679D07" w14:textId="77777777" w:rsidR="002E24DA" w:rsidRDefault="00282FF7">
            <w:pPr>
              <w:pBdr>
                <w:top w:val="nil"/>
                <w:left w:val="nil"/>
                <w:bottom w:val="nil"/>
                <w:right w:val="nil"/>
                <w:between w:val="nil"/>
              </w:pBdr>
              <w:rPr>
                <w:color w:val="000000"/>
                <w:sz w:val="24"/>
                <w:szCs w:val="24"/>
              </w:rPr>
            </w:pPr>
            <w:r>
              <w:rPr>
                <w:color w:val="000000"/>
                <w:sz w:val="24"/>
                <w:szCs w:val="24"/>
              </w:rPr>
              <w:t xml:space="preserve">Voor </w:t>
            </w:r>
            <w:r>
              <w:rPr>
                <w:b/>
                <w:color w:val="000000"/>
                <w:sz w:val="24"/>
                <w:szCs w:val="24"/>
              </w:rPr>
              <w:t>materialen</w:t>
            </w:r>
            <w:r>
              <w:rPr>
                <w:color w:val="000000"/>
                <w:sz w:val="24"/>
                <w:szCs w:val="24"/>
              </w:rPr>
              <w:t xml:space="preserve"> die niet noodzakelijk zijn voor het behalen van de eindtermen of ontwikkelingsdoelen, maar die de school toch verplicht om aan te kopen en waarvoor de ouders de kostprijs niet zelf kunnen bepalen.</w:t>
            </w:r>
          </w:p>
          <w:p w14:paraId="4DFDE330" w14:textId="60007BDF" w:rsidR="002E24DA" w:rsidRPr="007C68A6" w:rsidRDefault="00282FF7" w:rsidP="007C68A6">
            <w:pPr>
              <w:pBdr>
                <w:top w:val="nil"/>
                <w:left w:val="nil"/>
                <w:bottom w:val="nil"/>
                <w:right w:val="nil"/>
                <w:between w:val="nil"/>
              </w:pBdr>
              <w:rPr>
                <w:color w:val="000000"/>
                <w:sz w:val="24"/>
                <w:szCs w:val="24"/>
              </w:rPr>
            </w:pPr>
            <w:r>
              <w:rPr>
                <w:color w:val="000000"/>
                <w:sz w:val="24"/>
                <w:szCs w:val="24"/>
              </w:rPr>
              <w:t>(voorbeelden: tijdschrift verplicht aan te kopen via de school,…)</w:t>
            </w:r>
          </w:p>
        </w:tc>
        <w:tc>
          <w:tcPr>
            <w:tcW w:w="2260" w:type="dxa"/>
            <w:vAlign w:val="center"/>
          </w:tcPr>
          <w:p w14:paraId="200188F3" w14:textId="77777777" w:rsidR="002E24DA" w:rsidRDefault="00282FF7">
            <w:pPr>
              <w:pStyle w:val="Kop3"/>
              <w:jc w:val="center"/>
              <w:outlineLvl w:val="2"/>
              <w:rPr>
                <w:rFonts w:eastAsia="Calibri" w:cs="Calibri"/>
              </w:rPr>
            </w:pPr>
            <w:r>
              <w:rPr>
                <w:rFonts w:eastAsia="Calibri" w:cs="Calibri"/>
              </w:rPr>
              <w:t>€ 55,00 (’23-’24)</w:t>
            </w:r>
          </w:p>
        </w:tc>
        <w:tc>
          <w:tcPr>
            <w:tcW w:w="2251" w:type="dxa"/>
            <w:vAlign w:val="center"/>
          </w:tcPr>
          <w:p w14:paraId="75EF83F4" w14:textId="77777777" w:rsidR="002E24DA" w:rsidRDefault="00282FF7">
            <w:pPr>
              <w:pStyle w:val="Kop3"/>
              <w:jc w:val="center"/>
              <w:outlineLvl w:val="2"/>
              <w:rPr>
                <w:rFonts w:eastAsia="Calibri" w:cs="Calibri"/>
              </w:rPr>
            </w:pPr>
            <w:r>
              <w:rPr>
                <w:rFonts w:eastAsia="Calibri" w:cs="Calibri"/>
              </w:rPr>
              <w:t>€ 105,00 (’23-’24)</w:t>
            </w:r>
          </w:p>
        </w:tc>
      </w:tr>
    </w:tbl>
    <w:p w14:paraId="7E09212E" w14:textId="77777777" w:rsidR="002E24DA" w:rsidRDefault="002E24DA">
      <w:pPr>
        <w:rPr>
          <w:sz w:val="16"/>
          <w:szCs w:val="16"/>
        </w:rPr>
      </w:pPr>
    </w:p>
    <w:tbl>
      <w:tblPr>
        <w:tblStyle w:val="a3"/>
        <w:tblW w:w="15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9"/>
        <w:gridCol w:w="2210"/>
        <w:gridCol w:w="2211"/>
      </w:tblGrid>
      <w:tr w:rsidR="002E24DA" w14:paraId="35C9D6BB" w14:textId="77777777">
        <w:tc>
          <w:tcPr>
            <w:tcW w:w="15050" w:type="dxa"/>
            <w:gridSpan w:val="3"/>
            <w:shd w:val="clear" w:color="auto" w:fill="BFBFBF"/>
          </w:tcPr>
          <w:p w14:paraId="3F4ADB3F" w14:textId="77777777" w:rsidR="002E24DA" w:rsidRDefault="00282FF7">
            <w:pPr>
              <w:pStyle w:val="Kop4"/>
              <w:numPr>
                <w:ilvl w:val="0"/>
                <w:numId w:val="2"/>
              </w:numPr>
              <w:outlineLvl w:val="3"/>
              <w:rPr>
                <w:rFonts w:eastAsia="Calibri" w:cs="Calibri"/>
                <w:sz w:val="28"/>
                <w:szCs w:val="28"/>
              </w:rPr>
            </w:pPr>
            <w:r>
              <w:rPr>
                <w:rFonts w:eastAsia="Calibri" w:cs="Calibri"/>
                <w:sz w:val="28"/>
                <w:szCs w:val="28"/>
              </w:rPr>
              <w:lastRenderedPageBreak/>
              <w:t>Niet-verplichte kosten</w:t>
            </w:r>
          </w:p>
        </w:tc>
      </w:tr>
      <w:tr w:rsidR="002E24DA" w14:paraId="22861DD4" w14:textId="77777777">
        <w:tc>
          <w:tcPr>
            <w:tcW w:w="15050" w:type="dxa"/>
            <w:gridSpan w:val="3"/>
          </w:tcPr>
          <w:p w14:paraId="1B3F8B6B" w14:textId="77777777" w:rsidR="002E24DA" w:rsidRDefault="00282FF7">
            <w:pPr>
              <w:pStyle w:val="Kop3"/>
              <w:numPr>
                <w:ilvl w:val="0"/>
                <w:numId w:val="1"/>
              </w:numPr>
              <w:ind w:left="0" w:firstLine="0"/>
              <w:outlineLvl w:val="2"/>
              <w:rPr>
                <w:rFonts w:eastAsia="Calibri" w:cs="Calibri"/>
                <w:sz w:val="24"/>
                <w:szCs w:val="24"/>
              </w:rPr>
            </w:pPr>
            <w:r>
              <w:rPr>
                <w:rFonts w:eastAsia="Calibri" w:cs="Calibri"/>
                <w:sz w:val="24"/>
                <w:szCs w:val="24"/>
              </w:rPr>
              <w:t xml:space="preserve">Kosten die vallen onder de minder scherpe maximumfactuur </w:t>
            </w:r>
          </w:p>
          <w:p w14:paraId="6FD44649" w14:textId="77777777" w:rsidR="002E24DA" w:rsidRDefault="002E24DA"/>
          <w:p w14:paraId="3D99441F" w14:textId="77777777" w:rsidR="002E24DA" w:rsidRDefault="00282FF7">
            <w:pPr>
              <w:rPr>
                <w:color w:val="000000"/>
                <w:sz w:val="24"/>
                <w:szCs w:val="24"/>
              </w:rPr>
            </w:pPr>
            <w:r>
              <w:rPr>
                <w:color w:val="000000"/>
                <w:sz w:val="24"/>
                <w:szCs w:val="24"/>
              </w:rPr>
              <w:t xml:space="preserve">In het kleuteronderwijs bestaat geen minder scherpe maximumfactuur. De school mag er geen bijdrage vragen aan de ouders voor meerdaagse uitstappen. </w:t>
            </w:r>
          </w:p>
          <w:p w14:paraId="3BD73ECA" w14:textId="77777777" w:rsidR="002E24DA" w:rsidRDefault="00282FF7">
            <w:pPr>
              <w:rPr>
                <w:sz w:val="24"/>
                <w:szCs w:val="24"/>
              </w:rPr>
            </w:pPr>
            <w:r>
              <w:rPr>
                <w:sz w:val="24"/>
                <w:szCs w:val="24"/>
              </w:rPr>
              <w:t>Voor een kind uit de lagere school is een basisbedrag voor de volledige duur van het lager onderwijs vastgelegd. Dat bedrag wordt jaarlijks geïndexeerd. (’23-’24: €520 over de 6 schooljaren heen)</w:t>
            </w:r>
          </w:p>
          <w:p w14:paraId="4B90A9F1" w14:textId="77777777" w:rsidR="002E24DA" w:rsidRDefault="002E24DA">
            <w:pPr>
              <w:rPr>
                <w:sz w:val="24"/>
                <w:szCs w:val="24"/>
              </w:rPr>
            </w:pPr>
          </w:p>
          <w:p w14:paraId="07D4653C" w14:textId="77777777" w:rsidR="002E24DA" w:rsidRDefault="00282FF7">
            <w:pPr>
              <w:pBdr>
                <w:top w:val="nil"/>
                <w:left w:val="nil"/>
                <w:bottom w:val="nil"/>
                <w:right w:val="nil"/>
                <w:between w:val="nil"/>
              </w:pBdr>
              <w:rPr>
                <w:color w:val="000000"/>
                <w:sz w:val="24"/>
                <w:szCs w:val="24"/>
              </w:rPr>
            </w:pPr>
            <w:r>
              <w:rPr>
                <w:color w:val="000000"/>
                <w:sz w:val="24"/>
                <w:szCs w:val="24"/>
              </w:rPr>
              <w:t>De minder scherpe maximumfactuur is voor meerdaagse uitstappen in de lagere school (voorbeelden: bosklassen, zeeklassen, sneeuwklassen,…)</w:t>
            </w:r>
          </w:p>
          <w:p w14:paraId="7A3C6ABC" w14:textId="77777777" w:rsidR="002E24DA" w:rsidRDefault="00282FF7">
            <w:pPr>
              <w:pBdr>
                <w:top w:val="nil"/>
                <w:left w:val="nil"/>
                <w:bottom w:val="nil"/>
                <w:right w:val="nil"/>
                <w:between w:val="nil"/>
              </w:pBdr>
              <w:rPr>
                <w:color w:val="000000"/>
                <w:sz w:val="24"/>
                <w:szCs w:val="24"/>
              </w:rPr>
            </w:pPr>
            <w:r>
              <w:rPr>
                <w:color w:val="000000"/>
                <w:sz w:val="24"/>
                <w:szCs w:val="24"/>
              </w:rPr>
              <w:t>Meerdaagse uitstappen buiten de schooluren vallen niet onder de minder scherpe maximumfactuur (voor secundair onderwijs).</w:t>
            </w:r>
          </w:p>
          <w:p w14:paraId="7AD7BA7C" w14:textId="77777777" w:rsidR="002E24DA" w:rsidRDefault="00282FF7">
            <w:pPr>
              <w:pStyle w:val="Kop3"/>
              <w:outlineLvl w:val="2"/>
              <w:rPr>
                <w:rFonts w:eastAsia="Calibri" w:cs="Calibri"/>
                <w:b w:val="0"/>
                <w:sz w:val="24"/>
                <w:szCs w:val="24"/>
              </w:rPr>
            </w:pPr>
            <w:r>
              <w:rPr>
                <w:rFonts w:eastAsia="Calibri" w:cs="Calibri"/>
                <w:b w:val="0"/>
                <w:sz w:val="24"/>
                <w:szCs w:val="24"/>
              </w:rPr>
              <w:t>De bijdrage van de ouders wordt gespreid over de volledige schoolloopbaan in het lager onderwijs.</w:t>
            </w:r>
          </w:p>
          <w:p w14:paraId="411A218E" w14:textId="77777777" w:rsidR="002E24DA" w:rsidRDefault="002E24DA"/>
        </w:tc>
      </w:tr>
      <w:tr w:rsidR="002E24DA" w14:paraId="4D2A45BC" w14:textId="77777777">
        <w:tc>
          <w:tcPr>
            <w:tcW w:w="15050" w:type="dxa"/>
            <w:gridSpan w:val="3"/>
          </w:tcPr>
          <w:p w14:paraId="0E330E4F" w14:textId="77777777" w:rsidR="002E24DA" w:rsidRDefault="00282FF7">
            <w:pPr>
              <w:pStyle w:val="Kop3"/>
              <w:numPr>
                <w:ilvl w:val="0"/>
                <w:numId w:val="1"/>
              </w:numPr>
              <w:ind w:left="0" w:firstLine="0"/>
              <w:outlineLvl w:val="2"/>
              <w:rPr>
                <w:rFonts w:eastAsia="Calibri" w:cs="Calibri"/>
                <w:sz w:val="24"/>
                <w:szCs w:val="24"/>
              </w:rPr>
            </w:pPr>
            <w:r>
              <w:rPr>
                <w:rFonts w:eastAsia="Calibri" w:cs="Calibri"/>
                <w:sz w:val="24"/>
                <w:szCs w:val="24"/>
              </w:rPr>
              <w:t>Kosten die vallen onder de dienstverlening van de school</w:t>
            </w:r>
          </w:p>
          <w:p w14:paraId="57B89A54" w14:textId="77777777" w:rsidR="002E24DA" w:rsidRDefault="00282FF7">
            <w:pPr>
              <w:pBdr>
                <w:top w:val="nil"/>
                <w:left w:val="nil"/>
                <w:bottom w:val="nil"/>
                <w:right w:val="nil"/>
                <w:between w:val="nil"/>
              </w:pBdr>
              <w:rPr>
                <w:color w:val="000000"/>
                <w:sz w:val="24"/>
                <w:szCs w:val="24"/>
              </w:rPr>
            </w:pPr>
            <w:r>
              <w:rPr>
                <w:color w:val="000000"/>
                <w:sz w:val="24"/>
                <w:szCs w:val="24"/>
              </w:rPr>
              <w:t xml:space="preserve">Diensten aangeboden door de school waar ouders </w:t>
            </w:r>
            <w:r>
              <w:rPr>
                <w:b/>
                <w:color w:val="000000"/>
                <w:sz w:val="24"/>
                <w:szCs w:val="24"/>
              </w:rPr>
              <w:t>vrijwillig</w:t>
            </w:r>
            <w:r>
              <w:rPr>
                <w:color w:val="000000"/>
                <w:sz w:val="24"/>
                <w:szCs w:val="24"/>
              </w:rPr>
              <w:t xml:space="preserve"> gebruik van kunnen maken. Je hoeft je als ouder niet verplicht te voelen deze zaken aan te kopen. </w:t>
            </w:r>
          </w:p>
          <w:p w14:paraId="60057A1B" w14:textId="77777777" w:rsidR="002E24DA" w:rsidRDefault="002E24DA"/>
        </w:tc>
      </w:tr>
      <w:tr w:rsidR="002E24DA" w14:paraId="559F8FA7" w14:textId="77777777">
        <w:tc>
          <w:tcPr>
            <w:tcW w:w="15050" w:type="dxa"/>
            <w:gridSpan w:val="3"/>
            <w:shd w:val="clear" w:color="auto" w:fill="E7E6E6"/>
          </w:tcPr>
          <w:p w14:paraId="69C214A9" w14:textId="77777777" w:rsidR="002E24DA" w:rsidRDefault="00282FF7">
            <w:pPr>
              <w:pStyle w:val="Kop3"/>
              <w:outlineLvl w:val="2"/>
              <w:rPr>
                <w:rFonts w:eastAsia="Calibri" w:cs="Calibri"/>
              </w:rPr>
            </w:pPr>
            <w:r>
              <w:rPr>
                <w:rFonts w:eastAsia="Calibri" w:cs="Calibri"/>
                <w:sz w:val="24"/>
                <w:szCs w:val="24"/>
              </w:rPr>
              <w:t>Rubriek 1: Materialen</w:t>
            </w:r>
          </w:p>
        </w:tc>
      </w:tr>
      <w:tr w:rsidR="00CD5E68" w14:paraId="6B7D75AF" w14:textId="77777777">
        <w:tc>
          <w:tcPr>
            <w:tcW w:w="10629" w:type="dxa"/>
          </w:tcPr>
          <w:p w14:paraId="2DEF2BDF" w14:textId="77777777" w:rsidR="00CD5E68" w:rsidRDefault="00CD5E68" w:rsidP="00CD5E68">
            <w:pPr>
              <w:rPr>
                <w:sz w:val="24"/>
                <w:szCs w:val="24"/>
              </w:rPr>
            </w:pPr>
            <w:r>
              <w:rPr>
                <w:sz w:val="24"/>
                <w:szCs w:val="24"/>
              </w:rPr>
              <w:t xml:space="preserve">Tijdschriften </w:t>
            </w:r>
          </w:p>
          <w:p w14:paraId="4B72C594" w14:textId="77777777" w:rsidR="00CD5E68" w:rsidRDefault="00CD5E68" w:rsidP="00CD5E68">
            <w:pPr>
              <w:pBdr>
                <w:top w:val="nil"/>
                <w:left w:val="nil"/>
                <w:bottom w:val="nil"/>
                <w:right w:val="nil"/>
                <w:between w:val="nil"/>
              </w:pBdr>
              <w:rPr>
                <w:color w:val="000000"/>
                <w:sz w:val="24"/>
                <w:szCs w:val="24"/>
              </w:rPr>
            </w:pPr>
            <w:proofErr w:type="spellStart"/>
            <w:r>
              <w:rPr>
                <w:color w:val="000000"/>
                <w:sz w:val="24"/>
                <w:szCs w:val="24"/>
              </w:rPr>
              <w:t>Bvb</w:t>
            </w:r>
            <w:proofErr w:type="spellEnd"/>
            <w:r>
              <w:rPr>
                <w:color w:val="000000"/>
                <w:sz w:val="24"/>
                <w:szCs w:val="24"/>
              </w:rPr>
              <w:t xml:space="preserve">. </w:t>
            </w:r>
            <w:proofErr w:type="spellStart"/>
            <w:r>
              <w:rPr>
                <w:color w:val="000000"/>
                <w:sz w:val="24"/>
                <w:szCs w:val="24"/>
              </w:rPr>
              <w:t>Dopido</w:t>
            </w:r>
            <w:proofErr w:type="spellEnd"/>
            <w:r>
              <w:rPr>
                <w:color w:val="000000"/>
                <w:sz w:val="24"/>
                <w:szCs w:val="24"/>
              </w:rPr>
              <w:t xml:space="preserve">, </w:t>
            </w:r>
            <w:proofErr w:type="spellStart"/>
            <w:r>
              <w:rPr>
                <w:color w:val="000000"/>
                <w:sz w:val="24"/>
                <w:szCs w:val="24"/>
              </w:rPr>
              <w:t>Doremi</w:t>
            </w:r>
            <w:proofErr w:type="spellEnd"/>
            <w:r>
              <w:rPr>
                <w:color w:val="000000"/>
                <w:sz w:val="24"/>
                <w:szCs w:val="24"/>
              </w:rPr>
              <w:t xml:space="preserve">, </w:t>
            </w:r>
            <w:proofErr w:type="spellStart"/>
            <w:r>
              <w:rPr>
                <w:color w:val="000000"/>
                <w:sz w:val="24"/>
                <w:szCs w:val="24"/>
              </w:rPr>
              <w:t>Dokadi</w:t>
            </w:r>
            <w:proofErr w:type="spellEnd"/>
            <w:r>
              <w:rPr>
                <w:color w:val="000000"/>
                <w:sz w:val="24"/>
                <w:szCs w:val="24"/>
              </w:rPr>
              <w:t xml:space="preserve"> (kleuterschool)</w:t>
            </w:r>
          </w:p>
          <w:p w14:paraId="723C8418" w14:textId="0D12A81E" w:rsidR="00CD5E68" w:rsidRDefault="00CD5E68" w:rsidP="00CD5E68">
            <w:pPr>
              <w:pBdr>
                <w:top w:val="nil"/>
                <w:left w:val="nil"/>
                <w:bottom w:val="nil"/>
                <w:right w:val="nil"/>
                <w:between w:val="nil"/>
              </w:pBdr>
              <w:rPr>
                <w:color w:val="000000"/>
                <w:sz w:val="24"/>
                <w:szCs w:val="24"/>
              </w:rPr>
            </w:pPr>
            <w:proofErr w:type="spellStart"/>
            <w:r>
              <w:rPr>
                <w:color w:val="000000"/>
                <w:sz w:val="24"/>
                <w:szCs w:val="24"/>
              </w:rPr>
              <w:t>Bvb</w:t>
            </w:r>
            <w:proofErr w:type="spellEnd"/>
            <w:r>
              <w:rPr>
                <w:color w:val="000000"/>
                <w:sz w:val="24"/>
                <w:szCs w:val="24"/>
              </w:rPr>
              <w:t>. Zonnekind, Zonnestraal, Zonneland, Vlaamse Filmpjes (lagere school)</w:t>
            </w:r>
          </w:p>
        </w:tc>
        <w:tc>
          <w:tcPr>
            <w:tcW w:w="2210" w:type="dxa"/>
            <w:vAlign w:val="center"/>
          </w:tcPr>
          <w:p w14:paraId="16A4747F" w14:textId="282ADED8" w:rsidR="00CD5E68" w:rsidRDefault="00A97E14" w:rsidP="00CD5E68">
            <w:pPr>
              <w:pStyle w:val="Kop3"/>
              <w:jc w:val="center"/>
              <w:outlineLvl w:val="2"/>
              <w:rPr>
                <w:rFonts w:eastAsia="Calibri" w:cs="Calibri"/>
                <w:sz w:val="24"/>
                <w:szCs w:val="24"/>
              </w:rPr>
            </w:pPr>
            <w:r>
              <w:rPr>
                <w:rFonts w:eastAsia="Calibri" w:cs="Calibri"/>
                <w:sz w:val="24"/>
                <w:szCs w:val="24"/>
              </w:rPr>
              <w:t>afhankelijk van uitgeverij</w:t>
            </w:r>
          </w:p>
        </w:tc>
        <w:tc>
          <w:tcPr>
            <w:tcW w:w="2211" w:type="dxa"/>
            <w:vAlign w:val="center"/>
          </w:tcPr>
          <w:p w14:paraId="3E15F5A4" w14:textId="0030E7B9" w:rsidR="00CD5E68" w:rsidRDefault="00A97E14" w:rsidP="00CD5E68">
            <w:pPr>
              <w:pStyle w:val="Kop3"/>
              <w:jc w:val="center"/>
              <w:outlineLvl w:val="2"/>
              <w:rPr>
                <w:rFonts w:eastAsia="Calibri" w:cs="Calibri"/>
                <w:sz w:val="24"/>
                <w:szCs w:val="24"/>
              </w:rPr>
            </w:pPr>
            <w:r>
              <w:rPr>
                <w:rFonts w:eastAsia="Calibri" w:cs="Calibri"/>
                <w:sz w:val="24"/>
                <w:szCs w:val="24"/>
              </w:rPr>
              <w:t>afhankelijk van uitgeverij</w:t>
            </w:r>
          </w:p>
        </w:tc>
      </w:tr>
      <w:tr w:rsidR="00CD5E68" w14:paraId="10028EDD" w14:textId="77777777">
        <w:tc>
          <w:tcPr>
            <w:tcW w:w="10629" w:type="dxa"/>
          </w:tcPr>
          <w:p w14:paraId="4DC0F12E" w14:textId="1FC84936" w:rsidR="00CD5E68" w:rsidRDefault="00CD5E68" w:rsidP="00CD5E68">
            <w:pPr>
              <w:rPr>
                <w:sz w:val="24"/>
                <w:szCs w:val="24"/>
              </w:rPr>
            </w:pPr>
            <w:r>
              <w:rPr>
                <w:sz w:val="24"/>
                <w:szCs w:val="24"/>
              </w:rPr>
              <w:t xml:space="preserve">Nieuwjaarsbrieven </w:t>
            </w:r>
          </w:p>
        </w:tc>
        <w:tc>
          <w:tcPr>
            <w:tcW w:w="2210" w:type="dxa"/>
            <w:vAlign w:val="center"/>
          </w:tcPr>
          <w:p w14:paraId="7DF1494C" w14:textId="0EB9F92E" w:rsidR="00CD5E68" w:rsidRDefault="00E10484" w:rsidP="00CD5E68">
            <w:pPr>
              <w:pStyle w:val="Kop3"/>
              <w:jc w:val="center"/>
              <w:outlineLvl w:val="2"/>
              <w:rPr>
                <w:rFonts w:eastAsia="Calibri" w:cs="Calibri"/>
                <w:sz w:val="24"/>
                <w:szCs w:val="24"/>
              </w:rPr>
            </w:pPr>
            <w:r>
              <w:rPr>
                <w:rFonts w:eastAsia="Calibri" w:cs="Calibri"/>
                <w:sz w:val="24"/>
                <w:szCs w:val="24"/>
              </w:rPr>
              <w:t>€0.75</w:t>
            </w:r>
          </w:p>
        </w:tc>
        <w:tc>
          <w:tcPr>
            <w:tcW w:w="2211" w:type="dxa"/>
            <w:vAlign w:val="center"/>
          </w:tcPr>
          <w:p w14:paraId="2C95F5C7" w14:textId="6E81FDBE" w:rsidR="00CD5E68" w:rsidRDefault="00E10484" w:rsidP="00CD5E68">
            <w:pPr>
              <w:pStyle w:val="Kop3"/>
              <w:jc w:val="center"/>
              <w:outlineLvl w:val="2"/>
              <w:rPr>
                <w:rFonts w:eastAsia="Calibri" w:cs="Calibri"/>
                <w:sz w:val="24"/>
                <w:szCs w:val="24"/>
              </w:rPr>
            </w:pPr>
            <w:r>
              <w:rPr>
                <w:rFonts w:eastAsia="Calibri" w:cs="Calibri"/>
                <w:sz w:val="24"/>
                <w:szCs w:val="24"/>
              </w:rPr>
              <w:t>€0.75</w:t>
            </w:r>
          </w:p>
        </w:tc>
      </w:tr>
      <w:tr w:rsidR="00CD5E68" w14:paraId="554085BC" w14:textId="77777777">
        <w:tc>
          <w:tcPr>
            <w:tcW w:w="10629" w:type="dxa"/>
          </w:tcPr>
          <w:p w14:paraId="4718A400" w14:textId="61AD6CF0" w:rsidR="00CD5E68" w:rsidRDefault="00CD5E68" w:rsidP="00CD5E68">
            <w:pPr>
              <w:rPr>
                <w:sz w:val="24"/>
                <w:szCs w:val="24"/>
              </w:rPr>
            </w:pPr>
            <w:r>
              <w:rPr>
                <w:sz w:val="24"/>
                <w:szCs w:val="24"/>
              </w:rPr>
              <w:t xml:space="preserve">Klasfoto </w:t>
            </w:r>
          </w:p>
        </w:tc>
        <w:tc>
          <w:tcPr>
            <w:tcW w:w="2210" w:type="dxa"/>
            <w:vAlign w:val="center"/>
          </w:tcPr>
          <w:p w14:paraId="17585D5C" w14:textId="15330288" w:rsidR="00CD5E68" w:rsidRDefault="00A97E14" w:rsidP="00CD5E68">
            <w:pPr>
              <w:pStyle w:val="Kop3"/>
              <w:jc w:val="center"/>
              <w:outlineLvl w:val="2"/>
              <w:rPr>
                <w:rFonts w:eastAsia="Calibri" w:cs="Calibri"/>
                <w:sz w:val="24"/>
                <w:szCs w:val="24"/>
              </w:rPr>
            </w:pPr>
            <w:r>
              <w:rPr>
                <w:rFonts w:eastAsia="Calibri" w:cs="Calibri"/>
                <w:sz w:val="24"/>
                <w:szCs w:val="24"/>
              </w:rPr>
              <w:t>€4</w:t>
            </w:r>
          </w:p>
        </w:tc>
        <w:tc>
          <w:tcPr>
            <w:tcW w:w="2211" w:type="dxa"/>
            <w:vAlign w:val="center"/>
          </w:tcPr>
          <w:p w14:paraId="34023F3B" w14:textId="29F6AE2E" w:rsidR="00CD5E68" w:rsidRDefault="00A97E14" w:rsidP="00CD5E68">
            <w:pPr>
              <w:pStyle w:val="Kop3"/>
              <w:jc w:val="center"/>
              <w:outlineLvl w:val="2"/>
              <w:rPr>
                <w:rFonts w:eastAsia="Calibri" w:cs="Calibri"/>
                <w:sz w:val="24"/>
                <w:szCs w:val="24"/>
              </w:rPr>
            </w:pPr>
            <w:r>
              <w:rPr>
                <w:rFonts w:eastAsia="Calibri" w:cs="Calibri"/>
                <w:sz w:val="24"/>
                <w:szCs w:val="24"/>
              </w:rPr>
              <w:t>€4</w:t>
            </w:r>
          </w:p>
        </w:tc>
      </w:tr>
      <w:tr w:rsidR="00CD5E68" w14:paraId="6B925042" w14:textId="77777777">
        <w:tc>
          <w:tcPr>
            <w:tcW w:w="10629" w:type="dxa"/>
          </w:tcPr>
          <w:p w14:paraId="27576C31" w14:textId="55392899" w:rsidR="00CD5E68" w:rsidRDefault="00CD5E68" w:rsidP="00CD5E68">
            <w:pPr>
              <w:rPr>
                <w:sz w:val="24"/>
                <w:szCs w:val="24"/>
              </w:rPr>
            </w:pPr>
            <w:r>
              <w:rPr>
                <w:sz w:val="24"/>
                <w:szCs w:val="24"/>
              </w:rPr>
              <w:t xml:space="preserve">Individuele foto </w:t>
            </w:r>
          </w:p>
        </w:tc>
        <w:tc>
          <w:tcPr>
            <w:tcW w:w="2210" w:type="dxa"/>
            <w:vAlign w:val="center"/>
          </w:tcPr>
          <w:p w14:paraId="5FDE670B" w14:textId="05955730" w:rsidR="00CD5E68" w:rsidRDefault="00A97E14" w:rsidP="00CD5E68">
            <w:pPr>
              <w:pStyle w:val="Kop3"/>
              <w:jc w:val="center"/>
              <w:outlineLvl w:val="2"/>
              <w:rPr>
                <w:rFonts w:eastAsia="Calibri" w:cs="Calibri"/>
                <w:sz w:val="24"/>
                <w:szCs w:val="24"/>
              </w:rPr>
            </w:pPr>
            <w:r>
              <w:rPr>
                <w:rFonts w:eastAsia="Calibri" w:cs="Calibri"/>
                <w:sz w:val="24"/>
                <w:szCs w:val="24"/>
              </w:rPr>
              <w:t>€7.5</w:t>
            </w:r>
          </w:p>
        </w:tc>
        <w:tc>
          <w:tcPr>
            <w:tcW w:w="2211" w:type="dxa"/>
            <w:vAlign w:val="center"/>
          </w:tcPr>
          <w:p w14:paraId="722409A1" w14:textId="6B81915B" w:rsidR="00CD5E68" w:rsidRDefault="00A97E14" w:rsidP="00CD5E68">
            <w:pPr>
              <w:pStyle w:val="Kop3"/>
              <w:jc w:val="center"/>
              <w:outlineLvl w:val="2"/>
              <w:rPr>
                <w:rFonts w:eastAsia="Calibri" w:cs="Calibri"/>
                <w:sz w:val="24"/>
                <w:szCs w:val="24"/>
              </w:rPr>
            </w:pPr>
            <w:r>
              <w:rPr>
                <w:rFonts w:eastAsia="Calibri" w:cs="Calibri"/>
                <w:sz w:val="24"/>
                <w:szCs w:val="24"/>
              </w:rPr>
              <w:t>€7.5</w:t>
            </w:r>
          </w:p>
        </w:tc>
      </w:tr>
      <w:tr w:rsidR="00CD5E68" w14:paraId="0A45A9C5" w14:textId="77777777">
        <w:tc>
          <w:tcPr>
            <w:tcW w:w="10629" w:type="dxa"/>
          </w:tcPr>
          <w:p w14:paraId="671DEE08" w14:textId="0CD767A0" w:rsidR="00CD5E68" w:rsidRDefault="00CD5E68" w:rsidP="00CD5E68">
            <w:pPr>
              <w:rPr>
                <w:sz w:val="24"/>
                <w:szCs w:val="24"/>
              </w:rPr>
            </w:pPr>
            <w:r>
              <w:rPr>
                <w:sz w:val="24"/>
                <w:szCs w:val="24"/>
              </w:rPr>
              <w:t xml:space="preserve">Vakantieblaadjes en vakantieboeken </w:t>
            </w:r>
          </w:p>
        </w:tc>
        <w:tc>
          <w:tcPr>
            <w:tcW w:w="2210" w:type="dxa"/>
            <w:vAlign w:val="center"/>
          </w:tcPr>
          <w:p w14:paraId="0241A511" w14:textId="6F365954" w:rsidR="00CD5E68" w:rsidRDefault="00A97E14" w:rsidP="00CD5E68">
            <w:pPr>
              <w:pStyle w:val="Kop3"/>
              <w:jc w:val="center"/>
              <w:outlineLvl w:val="2"/>
              <w:rPr>
                <w:rFonts w:eastAsia="Calibri" w:cs="Calibri"/>
                <w:sz w:val="24"/>
                <w:szCs w:val="24"/>
              </w:rPr>
            </w:pPr>
            <w:r>
              <w:rPr>
                <w:rFonts w:eastAsia="Calibri" w:cs="Calibri"/>
                <w:sz w:val="24"/>
                <w:szCs w:val="24"/>
              </w:rPr>
              <w:t>afhankelijk van uitgeverij</w:t>
            </w:r>
          </w:p>
        </w:tc>
        <w:tc>
          <w:tcPr>
            <w:tcW w:w="2211" w:type="dxa"/>
            <w:vAlign w:val="center"/>
          </w:tcPr>
          <w:p w14:paraId="2B662FD4" w14:textId="130DE368" w:rsidR="00CD5E68" w:rsidRDefault="00A97E14" w:rsidP="00CD5E68">
            <w:pPr>
              <w:pStyle w:val="Kop3"/>
              <w:jc w:val="center"/>
              <w:outlineLvl w:val="2"/>
              <w:rPr>
                <w:rFonts w:eastAsia="Calibri" w:cs="Calibri"/>
                <w:sz w:val="24"/>
                <w:szCs w:val="24"/>
              </w:rPr>
            </w:pPr>
            <w:r>
              <w:rPr>
                <w:rFonts w:eastAsia="Calibri" w:cs="Calibri"/>
                <w:sz w:val="24"/>
                <w:szCs w:val="24"/>
              </w:rPr>
              <w:t>afhankelijk van uitgeverij</w:t>
            </w:r>
          </w:p>
        </w:tc>
      </w:tr>
      <w:tr w:rsidR="002E24DA" w14:paraId="2BBD174B" w14:textId="77777777">
        <w:tc>
          <w:tcPr>
            <w:tcW w:w="15050" w:type="dxa"/>
            <w:gridSpan w:val="3"/>
            <w:shd w:val="clear" w:color="auto" w:fill="E7E6E6"/>
          </w:tcPr>
          <w:p w14:paraId="77F922E8" w14:textId="77777777" w:rsidR="002E24DA" w:rsidRDefault="00282FF7">
            <w:pPr>
              <w:pStyle w:val="Kop3"/>
              <w:outlineLvl w:val="2"/>
              <w:rPr>
                <w:rFonts w:eastAsia="Calibri" w:cs="Calibri"/>
                <w:sz w:val="24"/>
                <w:szCs w:val="24"/>
              </w:rPr>
            </w:pPr>
            <w:r>
              <w:rPr>
                <w:rFonts w:eastAsia="Calibri" w:cs="Calibri"/>
                <w:sz w:val="24"/>
                <w:szCs w:val="24"/>
              </w:rPr>
              <w:t>Rubriek 2: Opvang</w:t>
            </w:r>
          </w:p>
        </w:tc>
      </w:tr>
      <w:tr w:rsidR="002E24DA" w14:paraId="2179A2B7" w14:textId="77777777">
        <w:tc>
          <w:tcPr>
            <w:tcW w:w="10629" w:type="dxa"/>
          </w:tcPr>
          <w:p w14:paraId="10335936" w14:textId="2948E386" w:rsidR="002E24DA" w:rsidRDefault="00282FF7">
            <w:pPr>
              <w:rPr>
                <w:sz w:val="24"/>
                <w:szCs w:val="24"/>
              </w:rPr>
            </w:pPr>
            <w:r>
              <w:rPr>
                <w:sz w:val="24"/>
                <w:szCs w:val="24"/>
              </w:rPr>
              <w:t xml:space="preserve">Middagtoezicht </w:t>
            </w:r>
          </w:p>
        </w:tc>
        <w:tc>
          <w:tcPr>
            <w:tcW w:w="2210" w:type="dxa"/>
            <w:vAlign w:val="center"/>
          </w:tcPr>
          <w:p w14:paraId="1CF2329A" w14:textId="75078CE3" w:rsidR="002E24DA" w:rsidRDefault="00A97E14">
            <w:pPr>
              <w:pStyle w:val="Kop3"/>
              <w:jc w:val="center"/>
              <w:outlineLvl w:val="2"/>
              <w:rPr>
                <w:rFonts w:eastAsia="Calibri" w:cs="Calibri"/>
                <w:sz w:val="24"/>
                <w:szCs w:val="24"/>
              </w:rPr>
            </w:pPr>
            <w:r>
              <w:rPr>
                <w:rFonts w:eastAsia="Calibri" w:cs="Calibri"/>
                <w:sz w:val="24"/>
                <w:szCs w:val="24"/>
              </w:rPr>
              <w:t>€1.5</w:t>
            </w:r>
          </w:p>
        </w:tc>
        <w:tc>
          <w:tcPr>
            <w:tcW w:w="2211" w:type="dxa"/>
            <w:vAlign w:val="center"/>
          </w:tcPr>
          <w:p w14:paraId="128C0A73" w14:textId="0D67BAB7" w:rsidR="002E24DA" w:rsidRDefault="00A97E14">
            <w:pPr>
              <w:pStyle w:val="Kop3"/>
              <w:jc w:val="center"/>
              <w:outlineLvl w:val="2"/>
              <w:rPr>
                <w:rFonts w:eastAsia="Calibri" w:cs="Calibri"/>
                <w:sz w:val="24"/>
                <w:szCs w:val="24"/>
              </w:rPr>
            </w:pPr>
            <w:r>
              <w:rPr>
                <w:rFonts w:eastAsia="Calibri" w:cs="Calibri"/>
                <w:sz w:val="24"/>
                <w:szCs w:val="24"/>
              </w:rPr>
              <w:t>€1.5</w:t>
            </w:r>
          </w:p>
        </w:tc>
      </w:tr>
      <w:tr w:rsidR="002E24DA" w14:paraId="470910BD" w14:textId="77777777">
        <w:tc>
          <w:tcPr>
            <w:tcW w:w="10629" w:type="dxa"/>
          </w:tcPr>
          <w:p w14:paraId="5263FE27" w14:textId="77777777" w:rsidR="002E24DA" w:rsidRDefault="00282FF7">
            <w:pPr>
              <w:rPr>
                <w:sz w:val="24"/>
                <w:szCs w:val="24"/>
              </w:rPr>
            </w:pPr>
            <w:r>
              <w:rPr>
                <w:sz w:val="24"/>
                <w:szCs w:val="24"/>
              </w:rPr>
              <w:t>Studiebegeleiding</w:t>
            </w:r>
          </w:p>
        </w:tc>
        <w:tc>
          <w:tcPr>
            <w:tcW w:w="2210" w:type="dxa"/>
            <w:vAlign w:val="center"/>
          </w:tcPr>
          <w:p w14:paraId="6119F66F" w14:textId="402F79BE" w:rsidR="002E24DA" w:rsidRDefault="00A97E14">
            <w:pPr>
              <w:pStyle w:val="Kop3"/>
              <w:jc w:val="center"/>
              <w:outlineLvl w:val="2"/>
              <w:rPr>
                <w:rFonts w:eastAsia="Calibri" w:cs="Calibri"/>
                <w:sz w:val="24"/>
                <w:szCs w:val="24"/>
              </w:rPr>
            </w:pPr>
            <w:r>
              <w:rPr>
                <w:rFonts w:eastAsia="Calibri" w:cs="Calibri"/>
                <w:sz w:val="24"/>
                <w:szCs w:val="24"/>
              </w:rPr>
              <w:t>/</w:t>
            </w:r>
          </w:p>
        </w:tc>
        <w:tc>
          <w:tcPr>
            <w:tcW w:w="2211" w:type="dxa"/>
            <w:vAlign w:val="center"/>
          </w:tcPr>
          <w:p w14:paraId="3C0FD91D" w14:textId="0214E02F" w:rsidR="002E24DA" w:rsidRDefault="00A97E14">
            <w:pPr>
              <w:pStyle w:val="Kop3"/>
              <w:jc w:val="center"/>
              <w:outlineLvl w:val="2"/>
              <w:rPr>
                <w:rFonts w:eastAsia="Calibri" w:cs="Calibri"/>
                <w:sz w:val="24"/>
                <w:szCs w:val="24"/>
              </w:rPr>
            </w:pPr>
            <w:r>
              <w:rPr>
                <w:rFonts w:eastAsia="Calibri" w:cs="Calibri"/>
                <w:sz w:val="24"/>
                <w:szCs w:val="24"/>
              </w:rPr>
              <w:t>€1.20/halfuur</w:t>
            </w:r>
          </w:p>
        </w:tc>
      </w:tr>
      <w:tr w:rsidR="002E24DA" w14:paraId="19341D46" w14:textId="77777777">
        <w:tc>
          <w:tcPr>
            <w:tcW w:w="10629" w:type="dxa"/>
          </w:tcPr>
          <w:p w14:paraId="41D40F62" w14:textId="77777777" w:rsidR="002E24DA" w:rsidRDefault="00282FF7">
            <w:pPr>
              <w:rPr>
                <w:sz w:val="24"/>
                <w:szCs w:val="24"/>
              </w:rPr>
            </w:pPr>
            <w:r>
              <w:rPr>
                <w:sz w:val="24"/>
                <w:szCs w:val="24"/>
              </w:rPr>
              <w:t xml:space="preserve">Voorschoolse opvang </w:t>
            </w:r>
          </w:p>
        </w:tc>
        <w:tc>
          <w:tcPr>
            <w:tcW w:w="2210" w:type="dxa"/>
            <w:vAlign w:val="center"/>
          </w:tcPr>
          <w:p w14:paraId="7F5EEB94" w14:textId="0996AC4D" w:rsidR="002E24DA" w:rsidRDefault="00A97E14">
            <w:pPr>
              <w:pStyle w:val="Kop3"/>
              <w:jc w:val="center"/>
              <w:outlineLvl w:val="2"/>
              <w:rPr>
                <w:rFonts w:eastAsia="Calibri" w:cs="Calibri"/>
                <w:sz w:val="24"/>
                <w:szCs w:val="24"/>
              </w:rPr>
            </w:pPr>
            <w:r>
              <w:rPr>
                <w:rFonts w:eastAsia="Calibri" w:cs="Calibri"/>
                <w:sz w:val="24"/>
                <w:szCs w:val="24"/>
              </w:rPr>
              <w:t>€0.60/kwartier</w:t>
            </w:r>
          </w:p>
        </w:tc>
        <w:tc>
          <w:tcPr>
            <w:tcW w:w="2211" w:type="dxa"/>
            <w:vAlign w:val="center"/>
          </w:tcPr>
          <w:p w14:paraId="778089D1" w14:textId="507B81B3" w:rsidR="002E24DA" w:rsidRDefault="00A97E14">
            <w:pPr>
              <w:pStyle w:val="Kop3"/>
              <w:jc w:val="center"/>
              <w:outlineLvl w:val="2"/>
              <w:rPr>
                <w:rFonts w:eastAsia="Calibri" w:cs="Calibri"/>
                <w:sz w:val="24"/>
                <w:szCs w:val="24"/>
              </w:rPr>
            </w:pPr>
            <w:r>
              <w:rPr>
                <w:rFonts w:eastAsia="Calibri" w:cs="Calibri"/>
                <w:sz w:val="24"/>
                <w:szCs w:val="24"/>
              </w:rPr>
              <w:t>€0.60/kwartier</w:t>
            </w:r>
          </w:p>
        </w:tc>
      </w:tr>
      <w:tr w:rsidR="002E24DA" w14:paraId="589AC419" w14:textId="77777777">
        <w:tc>
          <w:tcPr>
            <w:tcW w:w="10629" w:type="dxa"/>
          </w:tcPr>
          <w:p w14:paraId="7F53D420" w14:textId="77777777" w:rsidR="002E24DA" w:rsidRDefault="00282FF7">
            <w:pPr>
              <w:rPr>
                <w:sz w:val="24"/>
                <w:szCs w:val="24"/>
              </w:rPr>
            </w:pPr>
            <w:r>
              <w:rPr>
                <w:sz w:val="24"/>
                <w:szCs w:val="24"/>
              </w:rPr>
              <w:t xml:space="preserve">Naschoolse opvang </w:t>
            </w:r>
          </w:p>
        </w:tc>
        <w:tc>
          <w:tcPr>
            <w:tcW w:w="2210" w:type="dxa"/>
            <w:vAlign w:val="center"/>
          </w:tcPr>
          <w:p w14:paraId="0B91EE48" w14:textId="77777777" w:rsidR="002E24DA" w:rsidRDefault="00A97E14" w:rsidP="00A97E14">
            <w:pPr>
              <w:pStyle w:val="Kop3"/>
              <w:jc w:val="center"/>
              <w:outlineLvl w:val="2"/>
              <w:rPr>
                <w:rFonts w:eastAsia="Calibri" w:cs="Calibri"/>
                <w:sz w:val="24"/>
                <w:szCs w:val="24"/>
              </w:rPr>
            </w:pPr>
            <w:r>
              <w:rPr>
                <w:rFonts w:eastAsia="Calibri" w:cs="Calibri"/>
                <w:sz w:val="24"/>
                <w:szCs w:val="24"/>
              </w:rPr>
              <w:t>€0.60/kwartier</w:t>
            </w:r>
          </w:p>
          <w:p w14:paraId="4DFDDDB0" w14:textId="0921066B" w:rsidR="00A97E14" w:rsidRPr="00A97E14" w:rsidRDefault="00A97E14" w:rsidP="00A97E14">
            <w:pPr>
              <w:jc w:val="center"/>
              <w:rPr>
                <w:b/>
              </w:rPr>
            </w:pPr>
            <w:r w:rsidRPr="00A97E14">
              <w:rPr>
                <w:b/>
                <w:sz w:val="24"/>
              </w:rPr>
              <w:t>vanaf 17u30 €1/kwartier</w:t>
            </w:r>
          </w:p>
        </w:tc>
        <w:tc>
          <w:tcPr>
            <w:tcW w:w="2211" w:type="dxa"/>
            <w:vAlign w:val="center"/>
          </w:tcPr>
          <w:p w14:paraId="488B6FA9" w14:textId="77777777" w:rsidR="00A97E14" w:rsidRPr="00A97E14" w:rsidRDefault="00A97E14" w:rsidP="00A97E14">
            <w:pPr>
              <w:pStyle w:val="Kop3"/>
              <w:jc w:val="center"/>
              <w:outlineLvl w:val="2"/>
              <w:rPr>
                <w:rFonts w:eastAsia="Calibri" w:cs="Calibri"/>
                <w:sz w:val="24"/>
                <w:szCs w:val="24"/>
              </w:rPr>
            </w:pPr>
            <w:r>
              <w:rPr>
                <w:rFonts w:eastAsia="Calibri" w:cs="Calibri"/>
                <w:sz w:val="24"/>
                <w:szCs w:val="24"/>
              </w:rPr>
              <w:t>€0.</w:t>
            </w:r>
            <w:r w:rsidRPr="00A97E14">
              <w:rPr>
                <w:rFonts w:eastAsia="Calibri" w:cs="Calibri"/>
                <w:sz w:val="24"/>
                <w:szCs w:val="24"/>
              </w:rPr>
              <w:t>60/kwartier</w:t>
            </w:r>
          </w:p>
          <w:p w14:paraId="1F2E91C4" w14:textId="28478E52" w:rsidR="002E24DA" w:rsidRDefault="00A97E14" w:rsidP="00A97E14">
            <w:pPr>
              <w:pStyle w:val="Kop3"/>
              <w:jc w:val="center"/>
              <w:outlineLvl w:val="2"/>
              <w:rPr>
                <w:rFonts w:eastAsia="Calibri" w:cs="Calibri"/>
                <w:sz w:val="24"/>
                <w:szCs w:val="24"/>
              </w:rPr>
            </w:pPr>
            <w:r w:rsidRPr="00A97E14">
              <w:rPr>
                <w:sz w:val="24"/>
              </w:rPr>
              <w:t>vanaf 17u30 €1/kwartier</w:t>
            </w:r>
          </w:p>
        </w:tc>
      </w:tr>
      <w:tr w:rsidR="002E24DA" w14:paraId="1821D33E" w14:textId="77777777">
        <w:tc>
          <w:tcPr>
            <w:tcW w:w="15050" w:type="dxa"/>
            <w:gridSpan w:val="3"/>
            <w:shd w:val="clear" w:color="auto" w:fill="E7E6E6"/>
          </w:tcPr>
          <w:p w14:paraId="2F3B7C71" w14:textId="77777777" w:rsidR="002E24DA" w:rsidRDefault="00282FF7">
            <w:pPr>
              <w:pStyle w:val="Kop3"/>
              <w:outlineLvl w:val="2"/>
              <w:rPr>
                <w:rFonts w:eastAsia="Calibri" w:cs="Calibri"/>
                <w:sz w:val="24"/>
                <w:szCs w:val="24"/>
              </w:rPr>
            </w:pPr>
            <w:r>
              <w:rPr>
                <w:rFonts w:eastAsia="Calibri" w:cs="Calibri"/>
                <w:sz w:val="24"/>
                <w:szCs w:val="24"/>
              </w:rPr>
              <w:lastRenderedPageBreak/>
              <w:t>Rubriek 3: Eten en drinken</w:t>
            </w:r>
          </w:p>
        </w:tc>
      </w:tr>
      <w:tr w:rsidR="002E24DA" w14:paraId="4D4856B8" w14:textId="77777777">
        <w:tc>
          <w:tcPr>
            <w:tcW w:w="10629" w:type="dxa"/>
          </w:tcPr>
          <w:p w14:paraId="64B1C358" w14:textId="77777777" w:rsidR="002E24DA" w:rsidRDefault="00282FF7">
            <w:pPr>
              <w:rPr>
                <w:sz w:val="24"/>
                <w:szCs w:val="24"/>
              </w:rPr>
            </w:pPr>
            <w:r>
              <w:rPr>
                <w:sz w:val="24"/>
                <w:szCs w:val="24"/>
              </w:rPr>
              <w:t>Water (altijd gratis)</w:t>
            </w:r>
          </w:p>
        </w:tc>
        <w:tc>
          <w:tcPr>
            <w:tcW w:w="2210" w:type="dxa"/>
            <w:vAlign w:val="center"/>
          </w:tcPr>
          <w:p w14:paraId="129FEE4C" w14:textId="2D2B8C31" w:rsidR="002E24DA" w:rsidRDefault="00A97E14">
            <w:pPr>
              <w:pStyle w:val="Kop3"/>
              <w:jc w:val="center"/>
              <w:outlineLvl w:val="2"/>
              <w:rPr>
                <w:rFonts w:eastAsia="Calibri" w:cs="Calibri"/>
                <w:sz w:val="24"/>
                <w:szCs w:val="24"/>
              </w:rPr>
            </w:pPr>
            <w:r>
              <w:rPr>
                <w:rFonts w:eastAsia="Calibri" w:cs="Calibri"/>
                <w:sz w:val="24"/>
                <w:szCs w:val="24"/>
              </w:rPr>
              <w:t>/</w:t>
            </w:r>
          </w:p>
        </w:tc>
        <w:tc>
          <w:tcPr>
            <w:tcW w:w="2211" w:type="dxa"/>
            <w:vAlign w:val="center"/>
          </w:tcPr>
          <w:p w14:paraId="1C859F98" w14:textId="7AADF74F" w:rsidR="002E24DA" w:rsidRDefault="00A97E14">
            <w:pPr>
              <w:pStyle w:val="Kop3"/>
              <w:jc w:val="center"/>
              <w:outlineLvl w:val="2"/>
              <w:rPr>
                <w:rFonts w:eastAsia="Calibri" w:cs="Calibri"/>
                <w:sz w:val="24"/>
                <w:szCs w:val="24"/>
              </w:rPr>
            </w:pPr>
            <w:r>
              <w:rPr>
                <w:rFonts w:eastAsia="Calibri" w:cs="Calibri"/>
                <w:sz w:val="24"/>
                <w:szCs w:val="24"/>
              </w:rPr>
              <w:t>/</w:t>
            </w:r>
          </w:p>
        </w:tc>
      </w:tr>
      <w:tr w:rsidR="002E24DA" w14:paraId="2E3D2823" w14:textId="77777777">
        <w:tc>
          <w:tcPr>
            <w:tcW w:w="10629" w:type="dxa"/>
          </w:tcPr>
          <w:p w14:paraId="6B33BC24" w14:textId="7419DB80" w:rsidR="002E24DA" w:rsidRDefault="00282FF7">
            <w:pPr>
              <w:rPr>
                <w:sz w:val="24"/>
                <w:szCs w:val="24"/>
              </w:rPr>
            </w:pPr>
            <w:r>
              <w:rPr>
                <w:sz w:val="24"/>
                <w:szCs w:val="24"/>
              </w:rPr>
              <w:t xml:space="preserve">Soep (alleen </w:t>
            </w:r>
            <w:r w:rsidR="007C68A6">
              <w:rPr>
                <w:sz w:val="24"/>
                <w:szCs w:val="24"/>
              </w:rPr>
              <w:t>’</w:t>
            </w:r>
            <w:r>
              <w:rPr>
                <w:sz w:val="24"/>
                <w:szCs w:val="24"/>
              </w:rPr>
              <w:t>s middags</w:t>
            </w:r>
            <w:r w:rsidR="007C68A6">
              <w:rPr>
                <w:sz w:val="24"/>
                <w:szCs w:val="24"/>
              </w:rPr>
              <w:t xml:space="preserve"> na herfstvakantie tot krokusvakantie</w:t>
            </w:r>
            <w:r>
              <w:rPr>
                <w:sz w:val="24"/>
                <w:szCs w:val="24"/>
              </w:rPr>
              <w:t>)</w:t>
            </w:r>
          </w:p>
        </w:tc>
        <w:tc>
          <w:tcPr>
            <w:tcW w:w="2210" w:type="dxa"/>
            <w:vAlign w:val="center"/>
          </w:tcPr>
          <w:p w14:paraId="3AC58F1D" w14:textId="15403F83" w:rsidR="002E24DA" w:rsidRDefault="00A97E14">
            <w:pPr>
              <w:pStyle w:val="Kop3"/>
              <w:jc w:val="center"/>
              <w:outlineLvl w:val="2"/>
              <w:rPr>
                <w:rFonts w:eastAsia="Calibri" w:cs="Calibri"/>
                <w:sz w:val="24"/>
                <w:szCs w:val="24"/>
              </w:rPr>
            </w:pPr>
            <w:r>
              <w:rPr>
                <w:rFonts w:eastAsia="Calibri" w:cs="Calibri"/>
                <w:sz w:val="24"/>
                <w:szCs w:val="24"/>
              </w:rPr>
              <w:t>€1/dag</w:t>
            </w:r>
          </w:p>
        </w:tc>
        <w:tc>
          <w:tcPr>
            <w:tcW w:w="2211" w:type="dxa"/>
            <w:vAlign w:val="center"/>
          </w:tcPr>
          <w:p w14:paraId="481023E0" w14:textId="59C6EBD9" w:rsidR="002E24DA" w:rsidRDefault="00A97E14">
            <w:pPr>
              <w:pStyle w:val="Kop3"/>
              <w:jc w:val="center"/>
              <w:outlineLvl w:val="2"/>
              <w:rPr>
                <w:rFonts w:eastAsia="Calibri" w:cs="Calibri"/>
                <w:sz w:val="24"/>
                <w:szCs w:val="24"/>
              </w:rPr>
            </w:pPr>
            <w:r>
              <w:rPr>
                <w:rFonts w:eastAsia="Calibri" w:cs="Calibri"/>
                <w:sz w:val="24"/>
                <w:szCs w:val="24"/>
              </w:rPr>
              <w:t>€1/dag</w:t>
            </w:r>
          </w:p>
        </w:tc>
      </w:tr>
    </w:tbl>
    <w:p w14:paraId="7F5A6B12" w14:textId="77777777" w:rsidR="002E24DA" w:rsidRDefault="002E24DA">
      <w:pPr>
        <w:spacing w:after="160" w:line="259" w:lineRule="auto"/>
        <w:rPr>
          <w:sz w:val="16"/>
          <w:szCs w:val="16"/>
        </w:rPr>
      </w:pPr>
    </w:p>
    <w:p w14:paraId="2B88A0EE" w14:textId="77777777" w:rsidR="005F7BC2" w:rsidRDefault="005F7BC2">
      <w:pPr>
        <w:spacing w:after="160" w:line="259" w:lineRule="auto"/>
        <w:rPr>
          <w:sz w:val="16"/>
          <w:szCs w:val="16"/>
        </w:rPr>
      </w:pPr>
    </w:p>
    <w:p w14:paraId="18E74FFB" w14:textId="77777777" w:rsidR="005F7BC2" w:rsidRDefault="005F7BC2">
      <w:pPr>
        <w:spacing w:after="160" w:line="259" w:lineRule="auto"/>
        <w:rPr>
          <w:sz w:val="16"/>
          <w:szCs w:val="16"/>
        </w:rPr>
      </w:pPr>
    </w:p>
    <w:tbl>
      <w:tblPr>
        <w:tblStyle w:val="a4"/>
        <w:tblW w:w="15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8"/>
      </w:tblGrid>
      <w:tr w:rsidR="002E24DA" w14:paraId="559416CF" w14:textId="77777777" w:rsidTr="00E10484">
        <w:tc>
          <w:tcPr>
            <w:tcW w:w="15268" w:type="dxa"/>
            <w:shd w:val="clear" w:color="auto" w:fill="BFBFBF"/>
          </w:tcPr>
          <w:p w14:paraId="4ACA7FC2" w14:textId="77777777" w:rsidR="002E24DA" w:rsidRDefault="00282FF7">
            <w:pPr>
              <w:pStyle w:val="Kop4"/>
              <w:numPr>
                <w:ilvl w:val="0"/>
                <w:numId w:val="2"/>
              </w:numPr>
              <w:outlineLvl w:val="3"/>
              <w:rPr>
                <w:rFonts w:eastAsia="Calibri" w:cs="Calibri"/>
                <w:sz w:val="24"/>
                <w:szCs w:val="24"/>
              </w:rPr>
            </w:pPr>
            <w:r>
              <w:rPr>
                <w:rFonts w:eastAsia="Calibri" w:cs="Calibri"/>
                <w:sz w:val="28"/>
                <w:szCs w:val="28"/>
              </w:rPr>
              <w:t>Wijze van betalen</w:t>
            </w:r>
          </w:p>
        </w:tc>
      </w:tr>
      <w:tr w:rsidR="002E24DA" w14:paraId="639B2475" w14:textId="77777777" w:rsidTr="00E10484">
        <w:tc>
          <w:tcPr>
            <w:tcW w:w="15268" w:type="dxa"/>
          </w:tcPr>
          <w:p w14:paraId="346F58EE" w14:textId="77777777" w:rsidR="00923EF7" w:rsidRPr="00923EF7" w:rsidRDefault="00923EF7" w:rsidP="00923EF7">
            <w:pPr>
              <w:autoSpaceDE w:val="0"/>
              <w:autoSpaceDN w:val="0"/>
              <w:adjustRightInd w:val="0"/>
              <w:jc w:val="both"/>
              <w:rPr>
                <w:rFonts w:cs="Tahoma"/>
                <w:b/>
                <w:bCs/>
                <w:sz w:val="24"/>
                <w:szCs w:val="24"/>
              </w:rPr>
            </w:pPr>
            <w:r w:rsidRPr="00923EF7">
              <w:rPr>
                <w:rFonts w:cs="Tahoma"/>
                <w:b/>
                <w:bCs/>
                <w:sz w:val="24"/>
                <w:szCs w:val="24"/>
              </w:rPr>
              <w:t xml:space="preserve">Schoolrekening: </w:t>
            </w:r>
          </w:p>
          <w:p w14:paraId="2EB36167" w14:textId="77777777" w:rsidR="00923EF7" w:rsidRPr="00923EF7" w:rsidRDefault="00923EF7" w:rsidP="00923EF7">
            <w:pPr>
              <w:autoSpaceDE w:val="0"/>
              <w:autoSpaceDN w:val="0"/>
              <w:adjustRightInd w:val="0"/>
              <w:jc w:val="both"/>
              <w:rPr>
                <w:rFonts w:cs="Tahoma"/>
                <w:bCs/>
                <w:sz w:val="24"/>
                <w:szCs w:val="24"/>
              </w:rPr>
            </w:pPr>
            <w:r w:rsidRPr="00923EF7">
              <w:rPr>
                <w:rFonts w:cs="Tahoma"/>
                <w:bCs/>
                <w:sz w:val="24"/>
                <w:szCs w:val="24"/>
              </w:rPr>
              <w:t>Alle facturen worden volledig betaald binnen de 30 dagen na factuurdatum.</w:t>
            </w:r>
          </w:p>
          <w:p w14:paraId="32AC7613" w14:textId="77777777" w:rsidR="00923EF7" w:rsidRPr="00923EF7" w:rsidRDefault="00923EF7" w:rsidP="00923EF7">
            <w:pPr>
              <w:autoSpaceDE w:val="0"/>
              <w:autoSpaceDN w:val="0"/>
              <w:adjustRightInd w:val="0"/>
              <w:jc w:val="both"/>
              <w:rPr>
                <w:rFonts w:cs="Tahoma"/>
                <w:bCs/>
                <w:sz w:val="24"/>
                <w:szCs w:val="24"/>
              </w:rPr>
            </w:pPr>
            <w:r w:rsidRPr="00923EF7">
              <w:rPr>
                <w:rFonts w:cs="Tahoma"/>
                <w:bCs/>
                <w:sz w:val="24"/>
                <w:szCs w:val="24"/>
              </w:rPr>
              <w:t xml:space="preserve">Ouders zijn, ongeacht hun burgerlijke staat, hoofdelijk aansprakelijk voor het betalen van de schoolrekening. Dat betekent dat we hen allebei kunnen aanspreken om de volledige rekening te betalen. </w:t>
            </w:r>
          </w:p>
          <w:p w14:paraId="1D3A7F96" w14:textId="77777777" w:rsidR="00923EF7" w:rsidRPr="00923EF7" w:rsidRDefault="00923EF7" w:rsidP="00923EF7">
            <w:pPr>
              <w:autoSpaceDE w:val="0"/>
              <w:autoSpaceDN w:val="0"/>
              <w:adjustRightInd w:val="0"/>
              <w:jc w:val="both"/>
              <w:rPr>
                <w:rFonts w:cs="Tahoma"/>
                <w:bCs/>
                <w:sz w:val="24"/>
                <w:szCs w:val="24"/>
              </w:rPr>
            </w:pPr>
            <w:r w:rsidRPr="00923EF7">
              <w:rPr>
                <w:rFonts w:cs="Tahoma"/>
                <w:bCs/>
                <w:sz w:val="24"/>
                <w:szCs w:val="24"/>
              </w:rPr>
              <w:t>We kunnen niet ingaan op een vraag om de schoolrekening te splitsen. In geval van scheiding, ontvangen beide ouders een identiek exemplaar van de schoolrekening. Zolang die rekening niet volledig is betaald, blijven beide ouders elk het volledige resterende saldo verschuldigd, ongeacht de afspraken die ze met elkaar gemaakt hebben.</w:t>
            </w:r>
          </w:p>
          <w:p w14:paraId="683D584F" w14:textId="77777777" w:rsidR="00923EF7" w:rsidRPr="00923EF7" w:rsidRDefault="00923EF7" w:rsidP="00923EF7">
            <w:pPr>
              <w:autoSpaceDE w:val="0"/>
              <w:autoSpaceDN w:val="0"/>
              <w:adjustRightInd w:val="0"/>
              <w:jc w:val="both"/>
              <w:rPr>
                <w:rFonts w:cs="Tahoma"/>
                <w:bCs/>
                <w:sz w:val="24"/>
                <w:szCs w:val="24"/>
              </w:rPr>
            </w:pPr>
          </w:p>
          <w:p w14:paraId="1471BF18" w14:textId="77777777" w:rsidR="00923EF7" w:rsidRPr="00923EF7" w:rsidRDefault="00923EF7" w:rsidP="00923EF7">
            <w:pPr>
              <w:autoSpaceDE w:val="0"/>
              <w:autoSpaceDN w:val="0"/>
              <w:adjustRightInd w:val="0"/>
              <w:jc w:val="both"/>
              <w:rPr>
                <w:rFonts w:cs="Tahoma"/>
                <w:b/>
                <w:bCs/>
                <w:sz w:val="24"/>
                <w:szCs w:val="24"/>
              </w:rPr>
            </w:pPr>
            <w:r w:rsidRPr="00923EF7">
              <w:rPr>
                <w:rFonts w:cs="Tahoma"/>
                <w:b/>
                <w:bCs/>
                <w:sz w:val="24"/>
                <w:szCs w:val="24"/>
              </w:rPr>
              <w:t>Elektronische facturen:</w:t>
            </w:r>
          </w:p>
          <w:p w14:paraId="6ABCC0E0" w14:textId="77777777" w:rsidR="00923EF7" w:rsidRPr="00923EF7" w:rsidRDefault="00923EF7" w:rsidP="00923EF7">
            <w:pPr>
              <w:jc w:val="both"/>
              <w:rPr>
                <w:rFonts w:cs="Tahoma"/>
                <w:sz w:val="24"/>
                <w:szCs w:val="24"/>
              </w:rPr>
            </w:pPr>
            <w:r w:rsidRPr="00923EF7">
              <w:rPr>
                <w:rFonts w:cs="Tahoma"/>
                <w:sz w:val="24"/>
                <w:szCs w:val="24"/>
              </w:rPr>
              <w:t>Alle facturen worden digitaal verstuurd. Daarnaast worden de facturen op papier meegegeven met de leerling indien dit werd aangegeven.</w:t>
            </w:r>
          </w:p>
          <w:p w14:paraId="66404450" w14:textId="77777777" w:rsidR="00923EF7" w:rsidRPr="00923EF7" w:rsidRDefault="00923EF7" w:rsidP="00923EF7">
            <w:pPr>
              <w:jc w:val="both"/>
              <w:rPr>
                <w:rFonts w:cs="Tahoma"/>
                <w:sz w:val="24"/>
                <w:szCs w:val="24"/>
              </w:rPr>
            </w:pPr>
            <w:r w:rsidRPr="00923EF7">
              <w:rPr>
                <w:rFonts w:cs="Tahoma"/>
                <w:sz w:val="24"/>
                <w:szCs w:val="24"/>
              </w:rPr>
              <w:t>Wij vragen de school steeds te verwittigen indien uw e-mailadres wijzigt.</w:t>
            </w:r>
          </w:p>
          <w:p w14:paraId="4A89A354" w14:textId="77777777" w:rsidR="00923EF7" w:rsidRPr="00923EF7" w:rsidRDefault="00923EF7" w:rsidP="00923EF7">
            <w:pPr>
              <w:autoSpaceDE w:val="0"/>
              <w:autoSpaceDN w:val="0"/>
              <w:adjustRightInd w:val="0"/>
              <w:ind w:left="1134" w:hanging="426"/>
              <w:jc w:val="both"/>
              <w:rPr>
                <w:rFonts w:cs="Tahoma"/>
                <w:bCs/>
                <w:sz w:val="24"/>
                <w:szCs w:val="24"/>
              </w:rPr>
            </w:pPr>
          </w:p>
          <w:p w14:paraId="1D4BA76F" w14:textId="77777777" w:rsidR="00923EF7" w:rsidRPr="00923EF7" w:rsidRDefault="00923EF7" w:rsidP="00923EF7">
            <w:pPr>
              <w:autoSpaceDE w:val="0"/>
              <w:autoSpaceDN w:val="0"/>
              <w:adjustRightInd w:val="0"/>
              <w:jc w:val="both"/>
              <w:rPr>
                <w:rFonts w:cs="Tahoma"/>
                <w:b/>
                <w:bCs/>
                <w:sz w:val="24"/>
                <w:szCs w:val="24"/>
              </w:rPr>
            </w:pPr>
            <w:r w:rsidRPr="00923EF7">
              <w:rPr>
                <w:rFonts w:cs="Tahoma"/>
                <w:b/>
                <w:bCs/>
                <w:sz w:val="24"/>
                <w:szCs w:val="24"/>
              </w:rPr>
              <w:t>Betalingen:</w:t>
            </w:r>
          </w:p>
          <w:p w14:paraId="7A62FF99" w14:textId="77777777" w:rsidR="00923EF7" w:rsidRPr="00923EF7" w:rsidRDefault="00923EF7" w:rsidP="00923EF7">
            <w:pPr>
              <w:autoSpaceDE w:val="0"/>
              <w:autoSpaceDN w:val="0"/>
              <w:adjustRightInd w:val="0"/>
              <w:jc w:val="both"/>
              <w:rPr>
                <w:rFonts w:cs="Tahoma"/>
                <w:bCs/>
                <w:sz w:val="24"/>
                <w:szCs w:val="24"/>
              </w:rPr>
            </w:pPr>
            <w:r w:rsidRPr="00923EF7">
              <w:rPr>
                <w:rFonts w:cs="Tahoma"/>
                <w:bCs/>
                <w:sz w:val="24"/>
                <w:szCs w:val="24"/>
              </w:rPr>
              <w:t xml:space="preserve">Je kan betalen via storting of overschrijving op de bankrekening van de school. </w:t>
            </w:r>
          </w:p>
          <w:p w14:paraId="42F48C37" w14:textId="77777777" w:rsidR="00923EF7" w:rsidRPr="00923EF7" w:rsidRDefault="00923EF7" w:rsidP="00923EF7">
            <w:pPr>
              <w:autoSpaceDE w:val="0"/>
              <w:autoSpaceDN w:val="0"/>
              <w:adjustRightInd w:val="0"/>
              <w:jc w:val="both"/>
              <w:rPr>
                <w:rFonts w:cs="Tahoma"/>
                <w:bCs/>
                <w:sz w:val="24"/>
                <w:szCs w:val="24"/>
              </w:rPr>
            </w:pPr>
          </w:p>
          <w:p w14:paraId="5C7897C7" w14:textId="77777777" w:rsidR="002F22B3" w:rsidRDefault="00923EF7" w:rsidP="00E10484">
            <w:pPr>
              <w:autoSpaceDE w:val="0"/>
              <w:autoSpaceDN w:val="0"/>
              <w:adjustRightInd w:val="0"/>
              <w:jc w:val="both"/>
              <w:rPr>
                <w:rFonts w:cs="Tahoma"/>
                <w:bCs/>
                <w:sz w:val="24"/>
                <w:szCs w:val="24"/>
              </w:rPr>
            </w:pPr>
            <w:r w:rsidRPr="00923EF7">
              <w:rPr>
                <w:rFonts w:cs="Tahoma"/>
                <w:bCs/>
                <w:sz w:val="24"/>
                <w:szCs w:val="24"/>
              </w:rPr>
              <w:t>Indien we vaststellen dat de schoolrekening geheel of gedeeltelijk onbetaald blijft, zonder dat er financiële problemen gemeld zijn. Of dat de gemaakte afspraken niet worden nageleefd, gaan we in eerste instantie het gesprek aan. Zorgt dit niet voor een oplossing, zal de school verdere stappen ondernemen.</w:t>
            </w:r>
          </w:p>
          <w:p w14:paraId="329B5888" w14:textId="1FA6C8F8" w:rsidR="00923EF7" w:rsidRDefault="00923EF7" w:rsidP="00E10484">
            <w:pPr>
              <w:autoSpaceDE w:val="0"/>
              <w:autoSpaceDN w:val="0"/>
              <w:adjustRightInd w:val="0"/>
              <w:jc w:val="both"/>
              <w:rPr>
                <w:rFonts w:cs="Tahoma"/>
                <w:bCs/>
                <w:sz w:val="24"/>
                <w:szCs w:val="24"/>
              </w:rPr>
            </w:pPr>
            <w:r w:rsidRPr="00923EF7">
              <w:rPr>
                <w:rFonts w:cs="Tahoma"/>
                <w:bCs/>
                <w:sz w:val="24"/>
                <w:szCs w:val="24"/>
              </w:rPr>
              <w:t xml:space="preserve"> </w:t>
            </w:r>
          </w:p>
          <w:p w14:paraId="256CD2B7" w14:textId="77777777" w:rsidR="00E10484" w:rsidRPr="00923EF7" w:rsidRDefault="00E10484" w:rsidP="00923EF7">
            <w:pPr>
              <w:autoSpaceDE w:val="0"/>
              <w:autoSpaceDN w:val="0"/>
              <w:adjustRightInd w:val="0"/>
              <w:jc w:val="both"/>
              <w:rPr>
                <w:rFonts w:cs="Tahoma"/>
                <w:bCs/>
                <w:sz w:val="24"/>
                <w:szCs w:val="24"/>
              </w:rPr>
            </w:pPr>
          </w:p>
          <w:p w14:paraId="5CC5B15C" w14:textId="77777777"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b/>
                <w:bCs/>
                <w:sz w:val="24"/>
                <w:szCs w:val="24"/>
              </w:rPr>
              <w:t>Kosteloze herinnering (aanmaning):</w:t>
            </w:r>
          </w:p>
          <w:p w14:paraId="27320086" w14:textId="77777777"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​Bij gebreke aan een tijdige betaling op de vervaldag zal de school een kosteloze eerste herinnering</w:t>
            </w:r>
          </w:p>
          <w:p w14:paraId="444ACFF3" w14:textId="04B17625" w:rsidR="00E10484" w:rsidRPr="00E10484" w:rsidRDefault="00E10484" w:rsidP="00D071E7">
            <w:pPr>
              <w:rPr>
                <w:rFonts w:asciiTheme="minorHAnsi" w:hAnsiTheme="minorHAnsi" w:cstheme="minorHAnsi"/>
                <w:sz w:val="24"/>
                <w:szCs w:val="24"/>
              </w:rPr>
            </w:pPr>
            <w:r w:rsidRPr="00E10484">
              <w:rPr>
                <w:rFonts w:asciiTheme="minorHAnsi" w:hAnsiTheme="minorHAnsi" w:cstheme="minorHAnsi"/>
                <w:sz w:val="24"/>
                <w:szCs w:val="24"/>
              </w:rPr>
              <w:t>(aanmaning) versturen. U ontvangt deze aanmaning per mail. Indien de betaling niet volgt binnen</w:t>
            </w:r>
          </w:p>
          <w:p w14:paraId="05186AC2" w14:textId="270E2C94"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de 20 kalenderdagen, zal uw dossier worden overgedragen aan een externe</w:t>
            </w:r>
          </w:p>
          <w:p w14:paraId="14C440E9" w14:textId="65D0FA03"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invorderingsmaatschappij voor de (gerechtelijke) invordering.</w:t>
            </w:r>
          </w:p>
          <w:p w14:paraId="47FAF978" w14:textId="77777777"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w:t>
            </w:r>
          </w:p>
          <w:p w14:paraId="02414DBC" w14:textId="1D143389"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lastRenderedPageBreak/>
              <w:t>Bij niet-betaling na het verstrijken van 20 kalenderdagen zal het factuurbedrag van rechtswege</w:t>
            </w:r>
          </w:p>
          <w:p w14:paraId="1E4FD04F" w14:textId="2B09DE92"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verhoogd worden met de wettelijke interest tegen de referentie-interestvoet vermeerderd met acht</w:t>
            </w:r>
          </w:p>
          <w:p w14:paraId="76F72437" w14:textId="34AC4BAD"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procentpunten bedoeld in artikel 5, tweede lid, van de wet van 2 augustus 2002 betreffende de</w:t>
            </w:r>
          </w:p>
          <w:p w14:paraId="023547B2" w14:textId="50DFEE02"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bestrijding van de betalingsachterstand bij handelstransacties, te rekenen tot de dag van gehele</w:t>
            </w:r>
            <w:bookmarkStart w:id="0" w:name="_GoBack"/>
            <w:bookmarkEnd w:id="0"/>
          </w:p>
          <w:p w14:paraId="510C38ED" w14:textId="39BAAB7A"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betaling van het factuurbedrag. Bovendien zal het openstaande saldo verhoogd worden met een</w:t>
            </w:r>
          </w:p>
          <w:p w14:paraId="5CF0BDF4" w14:textId="49513E9D"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forfaitair bedrag, zelfs bij toekenning van een termijn van afbetaling en zonder inbreuk te doen aan</w:t>
            </w:r>
          </w:p>
          <w:p w14:paraId="1AB43307" w14:textId="4CDBD7F7"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de mogelijkheden voorzien in artikel 5.201 BW, samengesteld als volgt:</w:t>
            </w:r>
          </w:p>
          <w:p w14:paraId="0E1650EA" w14:textId="28F8EAC9"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​a) 20,00 euro als het verschuldigde saldo lager dan of gelijk aan 150,00 euro is;</w:t>
            </w:r>
          </w:p>
          <w:p w14:paraId="092ACB6C" w14:textId="7053E281"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​b) 30,00 euro vermeerderd met 10 % van het verschuldigde bedrag op de schijf tussen 150,01 en</w:t>
            </w:r>
          </w:p>
          <w:p w14:paraId="49CA9A5E" w14:textId="5D2565A0"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500,00 euro als het verschuldigde saldo tussen 150,01 en 500,00 euro is;</w:t>
            </w:r>
          </w:p>
          <w:p w14:paraId="7C90E176" w14:textId="7EB88137"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​c) 65,00 euro vermeerderd met 5 % van het verschuldigde bedrag op de schijf boven 500,00 euro</w:t>
            </w:r>
          </w:p>
          <w:p w14:paraId="5D26597C" w14:textId="07420FDF"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met een maximum van 2.000,00 euro als het verschuldigde saldo hoger dan 500,00 euro is.</w:t>
            </w:r>
          </w:p>
          <w:p w14:paraId="2343E05C" w14:textId="77777777"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w:t>
            </w:r>
          </w:p>
          <w:p w14:paraId="7E02FBFD" w14:textId="0C679F47"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Bedragen desgevallend te indexeren conform art 15, §4 van de Wet van 4 mei 2023 houdende</w:t>
            </w:r>
          </w:p>
          <w:p w14:paraId="538A1F8E" w14:textId="7E562248"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invoeging van boek XIX "Schulden van de consument" in het Wetboek van economisch recht. Dit</w:t>
            </w:r>
          </w:p>
          <w:p w14:paraId="74E97428" w14:textId="496E2CE6"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forfaitair bedrag is exclusief de gebeurlijk in het kader van een gerechtelijke invordering</w:t>
            </w:r>
          </w:p>
          <w:p w14:paraId="3B1A201D" w14:textId="22BD606D"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uitgestelde invorderings-, gerechts- en/of uitvoeringskosten.</w:t>
            </w:r>
          </w:p>
          <w:p w14:paraId="744EBC7E" w14:textId="77777777"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w:t>
            </w:r>
          </w:p>
          <w:p w14:paraId="0BA22450" w14:textId="56290C83"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In het geval de school een contractuele verplichting niet nakomt, dient u de school in gebreke te</w:t>
            </w:r>
          </w:p>
          <w:p w14:paraId="6657D253" w14:textId="7FD1F266"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stellen. Deze ingebrekestelling moet binnen de 30 kalenderdagen na kennisname van de</w:t>
            </w:r>
          </w:p>
          <w:p w14:paraId="522C9C02" w14:textId="344D3A14"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tekortkoming worden verzonden op een duurzame drager. Wanneer de school de tekortkoming niet</w:t>
            </w:r>
          </w:p>
          <w:p w14:paraId="1469DB1C" w14:textId="11B9D108"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heeft rechtgezet binnen een termijn van 30 kalenderdagen, dan heeft u recht op een forfaitaire</w:t>
            </w:r>
          </w:p>
          <w:p w14:paraId="3C07879B" w14:textId="2094E97D"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bedrag. Wanneer de schade in geld waardeerbaar is, bedraagt ze 10% van het in geld waardeerbare</w:t>
            </w:r>
          </w:p>
          <w:p w14:paraId="07EA1543" w14:textId="0BCE2220"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bedrag met een minimum van 10 euro en een maximum van 50 euro. Wanneer de schade niet in</w:t>
            </w:r>
          </w:p>
          <w:p w14:paraId="3A3E578C" w14:textId="7DFFE490" w:rsidR="00E10484" w:rsidRPr="00E10484" w:rsidRDefault="00E10484" w:rsidP="00E10484">
            <w:pPr>
              <w:ind w:left="705" w:hanging="705"/>
              <w:rPr>
                <w:rFonts w:asciiTheme="minorHAnsi" w:hAnsiTheme="minorHAnsi" w:cstheme="minorHAnsi"/>
                <w:sz w:val="24"/>
                <w:szCs w:val="24"/>
              </w:rPr>
            </w:pPr>
            <w:r w:rsidRPr="00E10484">
              <w:rPr>
                <w:rFonts w:asciiTheme="minorHAnsi" w:hAnsiTheme="minorHAnsi" w:cstheme="minorHAnsi"/>
                <w:sz w:val="24"/>
                <w:szCs w:val="24"/>
              </w:rPr>
              <w:t>geld waardeerbaar is, bedraagt het forfaitaire schadebedrag 20 euro.</w:t>
            </w:r>
          </w:p>
          <w:p w14:paraId="0CA03858" w14:textId="77777777" w:rsidR="00923EF7" w:rsidRPr="00923EF7" w:rsidRDefault="00923EF7" w:rsidP="00923EF7">
            <w:pPr>
              <w:autoSpaceDE w:val="0"/>
              <w:autoSpaceDN w:val="0"/>
              <w:adjustRightInd w:val="0"/>
              <w:jc w:val="both"/>
              <w:rPr>
                <w:rFonts w:cs="Tahoma"/>
                <w:bCs/>
                <w:sz w:val="24"/>
                <w:szCs w:val="24"/>
              </w:rPr>
            </w:pPr>
          </w:p>
          <w:p w14:paraId="19A5941B" w14:textId="6B999E99" w:rsidR="00923EF7" w:rsidRDefault="00923EF7" w:rsidP="00923EF7">
            <w:pPr>
              <w:autoSpaceDE w:val="0"/>
              <w:autoSpaceDN w:val="0"/>
              <w:adjustRightInd w:val="0"/>
              <w:jc w:val="both"/>
              <w:rPr>
                <w:rFonts w:cs="Tahoma"/>
                <w:bCs/>
                <w:sz w:val="24"/>
                <w:szCs w:val="24"/>
              </w:rPr>
            </w:pPr>
          </w:p>
          <w:p w14:paraId="7F6638A8" w14:textId="77777777" w:rsidR="00E10484" w:rsidRPr="00923EF7" w:rsidRDefault="00E10484" w:rsidP="00923EF7">
            <w:pPr>
              <w:autoSpaceDE w:val="0"/>
              <w:autoSpaceDN w:val="0"/>
              <w:adjustRightInd w:val="0"/>
              <w:jc w:val="both"/>
              <w:rPr>
                <w:rFonts w:cs="Tahoma"/>
                <w:bCs/>
                <w:sz w:val="24"/>
                <w:szCs w:val="24"/>
              </w:rPr>
            </w:pPr>
          </w:p>
          <w:p w14:paraId="002F98B8" w14:textId="69EF9B00" w:rsidR="00923EF7" w:rsidRDefault="00923EF7" w:rsidP="00923EF7">
            <w:pPr>
              <w:autoSpaceDE w:val="0"/>
              <w:autoSpaceDN w:val="0"/>
              <w:adjustRightInd w:val="0"/>
              <w:jc w:val="both"/>
              <w:rPr>
                <w:rFonts w:cs="Tahoma"/>
                <w:b/>
                <w:bCs/>
                <w:sz w:val="24"/>
                <w:szCs w:val="24"/>
              </w:rPr>
            </w:pPr>
            <w:r w:rsidRPr="00923EF7">
              <w:rPr>
                <w:rFonts w:cs="Tahoma"/>
                <w:bCs/>
                <w:sz w:val="24"/>
                <w:szCs w:val="24"/>
              </w:rPr>
              <w:t>Voor betwistingen m.b.t. onze scholen in Sint-Niklaas is het Vredegerecht te Sint-Niklaas bevoegd en voor de school in Lokeren het Vredegerecht te Lokeren</w:t>
            </w:r>
            <w:r w:rsidRPr="00923EF7">
              <w:rPr>
                <w:rFonts w:cs="Tahoma"/>
                <w:b/>
                <w:bCs/>
                <w:sz w:val="24"/>
                <w:szCs w:val="24"/>
              </w:rPr>
              <w:t>, dan wel de Rechtbank van eerste aanleg Oost-Vlaanderen, afdeling Dendermonde bevoegd.</w:t>
            </w:r>
          </w:p>
          <w:p w14:paraId="281A4311" w14:textId="77777777" w:rsidR="00E10484" w:rsidRPr="00923EF7" w:rsidRDefault="00E10484" w:rsidP="00923EF7">
            <w:pPr>
              <w:autoSpaceDE w:val="0"/>
              <w:autoSpaceDN w:val="0"/>
              <w:adjustRightInd w:val="0"/>
              <w:jc w:val="both"/>
              <w:rPr>
                <w:rFonts w:cs="Tahoma"/>
                <w:b/>
                <w:bCs/>
                <w:sz w:val="24"/>
                <w:szCs w:val="24"/>
              </w:rPr>
            </w:pPr>
          </w:p>
          <w:p w14:paraId="6C53BD89" w14:textId="77777777" w:rsidR="002E24DA" w:rsidRPr="00923EF7" w:rsidRDefault="002E24DA">
            <w:pPr>
              <w:rPr>
                <w:sz w:val="24"/>
                <w:szCs w:val="24"/>
              </w:rPr>
            </w:pPr>
          </w:p>
        </w:tc>
      </w:tr>
    </w:tbl>
    <w:p w14:paraId="51D287BA" w14:textId="77777777" w:rsidR="002E24DA" w:rsidRDefault="002E24DA">
      <w:pPr>
        <w:rPr>
          <w:sz w:val="16"/>
          <w:szCs w:val="16"/>
        </w:rPr>
      </w:pPr>
    </w:p>
    <w:p w14:paraId="14ADC1A4" w14:textId="77777777" w:rsidR="002E24DA" w:rsidRDefault="002E24DA">
      <w:pPr>
        <w:rPr>
          <w:sz w:val="16"/>
          <w:szCs w:val="16"/>
        </w:rPr>
      </w:pPr>
    </w:p>
    <w:p w14:paraId="68EA6699" w14:textId="77777777" w:rsidR="002E24DA" w:rsidRDefault="002E24DA">
      <w:pPr>
        <w:rPr>
          <w:sz w:val="16"/>
          <w:szCs w:val="16"/>
        </w:rPr>
      </w:pPr>
    </w:p>
    <w:p w14:paraId="5809B2DD" w14:textId="77777777" w:rsidR="002E24DA" w:rsidRDefault="002E24DA">
      <w:pPr>
        <w:rPr>
          <w:sz w:val="16"/>
          <w:szCs w:val="16"/>
        </w:rPr>
      </w:pPr>
    </w:p>
    <w:p w14:paraId="071FABF2" w14:textId="77777777" w:rsidR="002E24DA" w:rsidRDefault="002E24DA">
      <w:pPr>
        <w:rPr>
          <w:sz w:val="16"/>
          <w:szCs w:val="16"/>
        </w:rPr>
      </w:pPr>
    </w:p>
    <w:tbl>
      <w:tblPr>
        <w:tblStyle w:val="a5"/>
        <w:tblW w:w="15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8"/>
      </w:tblGrid>
      <w:tr w:rsidR="002E24DA" w14:paraId="4C44A7AD" w14:textId="77777777">
        <w:tc>
          <w:tcPr>
            <w:tcW w:w="15268" w:type="dxa"/>
            <w:shd w:val="clear" w:color="auto" w:fill="BFBFBF"/>
          </w:tcPr>
          <w:p w14:paraId="6514065A" w14:textId="77777777" w:rsidR="002E24DA" w:rsidRDefault="00282FF7">
            <w:pPr>
              <w:pStyle w:val="Kop4"/>
              <w:numPr>
                <w:ilvl w:val="0"/>
                <w:numId w:val="2"/>
              </w:numPr>
              <w:outlineLvl w:val="3"/>
              <w:rPr>
                <w:rFonts w:eastAsia="Calibri" w:cs="Calibri"/>
                <w:sz w:val="28"/>
                <w:szCs w:val="28"/>
              </w:rPr>
            </w:pPr>
            <w:r>
              <w:rPr>
                <w:rFonts w:eastAsia="Calibri" w:cs="Calibri"/>
                <w:sz w:val="28"/>
                <w:szCs w:val="28"/>
              </w:rPr>
              <w:t>Bij wie kan u terecht in geval van betalingsmoeilijkheden?</w:t>
            </w:r>
          </w:p>
        </w:tc>
      </w:tr>
      <w:tr w:rsidR="002E24DA" w14:paraId="47E23D11" w14:textId="77777777">
        <w:tc>
          <w:tcPr>
            <w:tcW w:w="15268" w:type="dxa"/>
          </w:tcPr>
          <w:p w14:paraId="1666F5E3" w14:textId="77777777" w:rsidR="00E515C0" w:rsidRDefault="00647CE0" w:rsidP="000B5E56">
            <w:pPr>
              <w:ind w:left="705" w:hanging="705"/>
              <w:rPr>
                <w:rFonts w:cs="Tahoma"/>
                <w:sz w:val="24"/>
                <w:szCs w:val="24"/>
              </w:rPr>
            </w:pPr>
            <w:r w:rsidRPr="00E515C0">
              <w:rPr>
                <w:rFonts w:cs="Tahoma"/>
                <w:sz w:val="24"/>
                <w:szCs w:val="24"/>
              </w:rPr>
              <w:t>Neem dan zo snel mogelijk contact op met de directie of de boekhouding zodat we samen naar een oplossing kunnen zoeken. Wij gaan discreet om met</w:t>
            </w:r>
          </w:p>
          <w:p w14:paraId="1F3FE510" w14:textId="069B7F15" w:rsidR="00647CE0" w:rsidRPr="00E515C0" w:rsidRDefault="00647CE0" w:rsidP="000B5E56">
            <w:pPr>
              <w:ind w:left="705" w:hanging="705"/>
              <w:rPr>
                <w:rFonts w:cs="Tahoma"/>
                <w:sz w:val="24"/>
                <w:szCs w:val="24"/>
              </w:rPr>
            </w:pPr>
            <w:r w:rsidRPr="00E515C0">
              <w:rPr>
                <w:rFonts w:cs="Tahoma"/>
                <w:sz w:val="24"/>
                <w:szCs w:val="24"/>
              </w:rPr>
              <w:t>elke vraag.</w:t>
            </w:r>
          </w:p>
          <w:p w14:paraId="3F0CB8F7" w14:textId="0758B713" w:rsidR="00647CE0" w:rsidRPr="00E515C0" w:rsidRDefault="00647CE0" w:rsidP="000B5E56">
            <w:pPr>
              <w:ind w:left="705" w:hanging="705"/>
              <w:rPr>
                <w:rFonts w:cs="Tahoma"/>
                <w:sz w:val="24"/>
                <w:szCs w:val="24"/>
              </w:rPr>
            </w:pPr>
            <w:r w:rsidRPr="00E515C0">
              <w:rPr>
                <w:rFonts w:cs="Tahoma"/>
                <w:sz w:val="24"/>
                <w:szCs w:val="24"/>
              </w:rPr>
              <w:t>Eén van de mogelijkheden kan zijn een aflossingsplan af te sluiten, waarbij je elke maand een afgesproken bedrag kan betalen.</w:t>
            </w:r>
          </w:p>
          <w:p w14:paraId="1215DA5E" w14:textId="0D0317E4" w:rsidR="00647CE0" w:rsidRPr="00E515C0" w:rsidRDefault="00647CE0" w:rsidP="000B5E56">
            <w:pPr>
              <w:ind w:left="705" w:hanging="705"/>
              <w:rPr>
                <w:rFonts w:cs="Tahoma"/>
                <w:sz w:val="24"/>
                <w:szCs w:val="24"/>
              </w:rPr>
            </w:pPr>
            <w:r w:rsidRPr="00E515C0">
              <w:rPr>
                <w:rFonts w:cs="Tahoma"/>
                <w:sz w:val="24"/>
                <w:szCs w:val="24"/>
              </w:rPr>
              <w:t xml:space="preserve">Wanneer je in een </w:t>
            </w:r>
            <w:r w:rsidRPr="00E515C0">
              <w:rPr>
                <w:rFonts w:cs="Tahoma"/>
                <w:b/>
                <w:sz w:val="24"/>
                <w:szCs w:val="24"/>
              </w:rPr>
              <w:t>collectieve schuldregeling</w:t>
            </w:r>
            <w:r w:rsidRPr="00E515C0">
              <w:rPr>
                <w:rFonts w:cs="Tahoma"/>
                <w:sz w:val="24"/>
                <w:szCs w:val="24"/>
              </w:rPr>
              <w:t xml:space="preserve"> stapt, vragen wij dit spontaan en onmiddellijk aan de school te melden.</w:t>
            </w:r>
          </w:p>
          <w:p w14:paraId="0EC8C961" w14:textId="77777777" w:rsidR="002E24DA" w:rsidRDefault="002E24DA"/>
        </w:tc>
      </w:tr>
    </w:tbl>
    <w:p w14:paraId="4D4DA32C" w14:textId="77777777" w:rsidR="002E24DA" w:rsidRDefault="002E24DA"/>
    <w:p w14:paraId="53211826" w14:textId="77777777" w:rsidR="00E515C0" w:rsidRDefault="00E515C0"/>
    <w:p w14:paraId="4C912A1D" w14:textId="77777777" w:rsidR="00E515C0" w:rsidRDefault="00E515C0"/>
    <w:tbl>
      <w:tblPr>
        <w:tblStyle w:val="a6"/>
        <w:tblW w:w="15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8"/>
      </w:tblGrid>
      <w:tr w:rsidR="002E24DA" w14:paraId="72490F9A" w14:textId="77777777">
        <w:tc>
          <w:tcPr>
            <w:tcW w:w="15268" w:type="dxa"/>
            <w:shd w:val="clear" w:color="auto" w:fill="BFBFBF"/>
          </w:tcPr>
          <w:p w14:paraId="36799B56" w14:textId="77777777" w:rsidR="002E24DA" w:rsidRDefault="00282FF7">
            <w:pPr>
              <w:pStyle w:val="Kop4"/>
              <w:numPr>
                <w:ilvl w:val="0"/>
                <w:numId w:val="2"/>
              </w:numPr>
              <w:outlineLvl w:val="3"/>
              <w:rPr>
                <w:rFonts w:eastAsia="Calibri" w:cs="Calibri"/>
                <w:sz w:val="28"/>
                <w:szCs w:val="28"/>
              </w:rPr>
            </w:pPr>
            <w:r>
              <w:rPr>
                <w:rFonts w:eastAsia="Calibri" w:cs="Calibri"/>
                <w:sz w:val="28"/>
                <w:szCs w:val="28"/>
              </w:rPr>
              <w:t>Welke voordelen biedt de kansenpas?</w:t>
            </w:r>
          </w:p>
        </w:tc>
      </w:tr>
      <w:tr w:rsidR="002E24DA" w14:paraId="177A9325" w14:textId="77777777">
        <w:tc>
          <w:tcPr>
            <w:tcW w:w="15268" w:type="dxa"/>
          </w:tcPr>
          <w:p w14:paraId="77E86D38" w14:textId="77777777" w:rsidR="002E24DA" w:rsidRDefault="002E24DA">
            <w:pPr>
              <w:rPr>
                <w:color w:val="000000"/>
                <w:sz w:val="24"/>
                <w:szCs w:val="24"/>
              </w:rPr>
            </w:pPr>
          </w:p>
          <w:p w14:paraId="2AB2FB4D" w14:textId="77777777" w:rsidR="002E24DA" w:rsidRDefault="00282FF7">
            <w:pPr>
              <w:jc w:val="both"/>
              <w:rPr>
                <w:color w:val="000000"/>
                <w:sz w:val="24"/>
                <w:szCs w:val="24"/>
              </w:rPr>
            </w:pPr>
            <w:r>
              <w:rPr>
                <w:color w:val="000000"/>
                <w:sz w:val="24"/>
                <w:szCs w:val="24"/>
              </w:rPr>
              <w:t xml:space="preserve">Houders van een kansenpas kunnen korting krijgen. Je kan een kansenpas aanvragen in het Welzijnshuis of online (indien je voldoet aan de voorwaarden). De school kan je hierbij ook helpen. Meer informatie: </w:t>
            </w:r>
            <w:hyperlink r:id="rId10">
              <w:r>
                <w:rPr>
                  <w:color w:val="000000"/>
                  <w:sz w:val="24"/>
                  <w:szCs w:val="24"/>
                  <w:u w:val="single"/>
                </w:rPr>
                <w:t>Kansenpas | Stad Sint-Niklaas</w:t>
              </w:r>
            </w:hyperlink>
          </w:p>
          <w:p w14:paraId="2F5F797D" w14:textId="77777777" w:rsidR="002E24DA" w:rsidRDefault="00282FF7">
            <w:pPr>
              <w:jc w:val="both"/>
              <w:rPr>
                <w:sz w:val="24"/>
                <w:szCs w:val="24"/>
              </w:rPr>
            </w:pPr>
            <w:r>
              <w:rPr>
                <w:sz w:val="24"/>
                <w:szCs w:val="24"/>
              </w:rPr>
              <w:t>Daarom vragen wij u in september om de kansenpassen of de klevers van het ziekenfonds van uw kinderen te bezorgen.</w:t>
            </w:r>
          </w:p>
          <w:p w14:paraId="7CC472F1" w14:textId="61BA4B52" w:rsidR="002E24DA" w:rsidRDefault="00282FF7">
            <w:r>
              <w:rPr>
                <w:sz w:val="24"/>
                <w:szCs w:val="24"/>
              </w:rPr>
              <w:t>Indien u bij de mutualiteit over verhoogde tegemoetkoming beschikt (dat ziet u aan het feit dat het cijfer op een 1 eindigt), dan voldoet u aan de voorwaarden voor een kansenpas. Wie een kansenpas heeft, krijgt afhankelijk van de keuze van de school een korting op de maximumfactuur.</w:t>
            </w:r>
          </w:p>
        </w:tc>
      </w:tr>
    </w:tbl>
    <w:p w14:paraId="546BB534" w14:textId="77777777" w:rsidR="002E24DA" w:rsidRDefault="002E24DA"/>
    <w:p w14:paraId="02E80D1F" w14:textId="77777777" w:rsidR="00E96FBB" w:rsidRDefault="00E96FBB"/>
    <w:p w14:paraId="5065706E" w14:textId="77777777" w:rsidR="00E96FBB" w:rsidRDefault="00E96FBB"/>
    <w:p w14:paraId="61D4E602" w14:textId="77777777" w:rsidR="00E96FBB" w:rsidRDefault="00E96FBB"/>
    <w:tbl>
      <w:tblPr>
        <w:tblStyle w:val="a7"/>
        <w:tblW w:w="15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8"/>
      </w:tblGrid>
      <w:tr w:rsidR="002E24DA" w14:paraId="5949B314" w14:textId="77777777">
        <w:tc>
          <w:tcPr>
            <w:tcW w:w="15268" w:type="dxa"/>
            <w:shd w:val="clear" w:color="auto" w:fill="BFBFBF"/>
          </w:tcPr>
          <w:p w14:paraId="43135FA9" w14:textId="77777777" w:rsidR="002E24DA" w:rsidRDefault="00282FF7">
            <w:pPr>
              <w:pStyle w:val="Kop4"/>
              <w:numPr>
                <w:ilvl w:val="0"/>
                <w:numId w:val="2"/>
              </w:numPr>
              <w:outlineLvl w:val="3"/>
              <w:rPr>
                <w:rFonts w:eastAsia="Calibri" w:cs="Calibri"/>
                <w:sz w:val="28"/>
                <w:szCs w:val="28"/>
              </w:rPr>
            </w:pPr>
            <w:r>
              <w:rPr>
                <w:rFonts w:eastAsia="Calibri" w:cs="Calibri"/>
                <w:sz w:val="28"/>
                <w:szCs w:val="28"/>
              </w:rPr>
              <w:t>Schooltoeslag (via Groeipakket) en tussenkomst ziekenfonds</w:t>
            </w:r>
          </w:p>
        </w:tc>
      </w:tr>
      <w:tr w:rsidR="002E24DA" w14:paraId="6CC82B93" w14:textId="77777777">
        <w:tc>
          <w:tcPr>
            <w:tcW w:w="15268" w:type="dxa"/>
          </w:tcPr>
          <w:p w14:paraId="7B67FA8D" w14:textId="77777777" w:rsidR="002E24DA" w:rsidRDefault="00282FF7">
            <w:pPr>
              <w:rPr>
                <w:sz w:val="24"/>
                <w:szCs w:val="24"/>
              </w:rPr>
            </w:pPr>
            <w:r>
              <w:rPr>
                <w:sz w:val="24"/>
                <w:szCs w:val="24"/>
              </w:rPr>
              <w:t xml:space="preserve">Meer info via groeipakket </w:t>
            </w:r>
            <w:hyperlink r:id="rId11">
              <w:r>
                <w:rPr>
                  <w:color w:val="0000FF"/>
                  <w:sz w:val="24"/>
                  <w:szCs w:val="24"/>
                  <w:u w:val="single"/>
                </w:rPr>
                <w:t>De schooltoeslag voor het basisonderwijs en het secundair onderwijs (Groeipakket) | Vlaanderen.be</w:t>
              </w:r>
            </w:hyperlink>
            <w:r>
              <w:rPr>
                <w:sz w:val="24"/>
                <w:szCs w:val="24"/>
              </w:rPr>
              <w:t xml:space="preserve"> </w:t>
            </w:r>
          </w:p>
          <w:p w14:paraId="5F03EFD4" w14:textId="77777777" w:rsidR="002E24DA" w:rsidRDefault="00282FF7">
            <w:pPr>
              <w:rPr>
                <w:sz w:val="24"/>
                <w:szCs w:val="24"/>
              </w:rPr>
            </w:pPr>
            <w:r>
              <w:rPr>
                <w:sz w:val="24"/>
                <w:szCs w:val="24"/>
              </w:rPr>
              <w:t>Ook de meeste ziekenfondsen voorzien tussenkomst bij meerdaagse uitstappen van klassen. Vraag dit zeker na bij uw ziekenfonds.</w:t>
            </w:r>
          </w:p>
          <w:p w14:paraId="3514748E" w14:textId="77777777" w:rsidR="002E24DA" w:rsidRDefault="00282FF7">
            <w:pPr>
              <w:rPr>
                <w:sz w:val="24"/>
                <w:szCs w:val="24"/>
              </w:rPr>
            </w:pPr>
            <w:r>
              <w:rPr>
                <w:sz w:val="24"/>
                <w:szCs w:val="24"/>
              </w:rPr>
              <w:t>Opgelet: Je kan als ouder de schooltoeslag verliezen als je kind niet voldoende dagen aanwezig is op school.</w:t>
            </w:r>
          </w:p>
        </w:tc>
      </w:tr>
    </w:tbl>
    <w:p w14:paraId="563C84E3" w14:textId="77777777" w:rsidR="002E24DA" w:rsidRDefault="002E24DA"/>
    <w:sectPr w:rsidR="002E24DA">
      <w:footerReference w:type="default" r:id="rId12"/>
      <w:pgSz w:w="16838" w:h="11906" w:orient="landscape"/>
      <w:pgMar w:top="567" w:right="709" w:bottom="993" w:left="85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33982" w14:textId="77777777" w:rsidR="0038188B" w:rsidRDefault="0038188B">
      <w:pPr>
        <w:spacing w:line="240" w:lineRule="auto"/>
      </w:pPr>
      <w:r>
        <w:separator/>
      </w:r>
    </w:p>
  </w:endnote>
  <w:endnote w:type="continuationSeparator" w:id="0">
    <w:p w14:paraId="7E3F465E" w14:textId="77777777" w:rsidR="0038188B" w:rsidRDefault="00381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A3B5" w14:textId="77777777" w:rsidR="002E24DA" w:rsidRDefault="002E24DA">
    <w:pPr>
      <w:pBdr>
        <w:top w:val="nil"/>
        <w:left w:val="nil"/>
        <w:bottom w:val="nil"/>
        <w:right w:val="nil"/>
        <w:between w:val="nil"/>
      </w:pBdr>
      <w:tabs>
        <w:tab w:val="center" w:pos="4536"/>
        <w:tab w:val="right" w:pos="9072"/>
      </w:tabs>
      <w:spacing w:line="240" w:lineRule="auto"/>
      <w:rPr>
        <w:color w:val="000000"/>
        <w:sz w:val="20"/>
        <w:szCs w:val="20"/>
      </w:rPr>
    </w:pPr>
  </w:p>
  <w:p w14:paraId="4A7B58AE" w14:textId="77777777" w:rsidR="002E24DA" w:rsidRDefault="002E24DA">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6C950" w14:textId="77777777" w:rsidR="0038188B" w:rsidRDefault="0038188B">
      <w:pPr>
        <w:spacing w:line="240" w:lineRule="auto"/>
      </w:pPr>
      <w:r>
        <w:separator/>
      </w:r>
    </w:p>
  </w:footnote>
  <w:footnote w:type="continuationSeparator" w:id="0">
    <w:p w14:paraId="72618235" w14:textId="77777777" w:rsidR="0038188B" w:rsidRDefault="003818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76F84"/>
    <w:multiLevelType w:val="multilevel"/>
    <w:tmpl w:val="F3AC9242"/>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D70F0E"/>
    <w:multiLevelType w:val="multilevel"/>
    <w:tmpl w:val="8C181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DA"/>
    <w:rsid w:val="000B5E56"/>
    <w:rsid w:val="00151B11"/>
    <w:rsid w:val="00282FF7"/>
    <w:rsid w:val="002E24DA"/>
    <w:rsid w:val="002F22B3"/>
    <w:rsid w:val="0038188B"/>
    <w:rsid w:val="00501F66"/>
    <w:rsid w:val="005F7BC2"/>
    <w:rsid w:val="00647CE0"/>
    <w:rsid w:val="007C68A6"/>
    <w:rsid w:val="00906493"/>
    <w:rsid w:val="00923EF7"/>
    <w:rsid w:val="00A61918"/>
    <w:rsid w:val="00A97E14"/>
    <w:rsid w:val="00C97C0C"/>
    <w:rsid w:val="00CD5E68"/>
    <w:rsid w:val="00CF38F2"/>
    <w:rsid w:val="00D071E7"/>
    <w:rsid w:val="00D40A6C"/>
    <w:rsid w:val="00DC7C43"/>
    <w:rsid w:val="00E10484"/>
    <w:rsid w:val="00E515C0"/>
    <w:rsid w:val="00E96F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996C"/>
  <w15:docId w15:val="{754AA799-0B0E-4613-A713-DFCF1F6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Tekst"/>
    <w:qFormat/>
    <w:rsid w:val="001E54C3"/>
  </w:style>
  <w:style w:type="paragraph" w:styleId="Kop1">
    <w:name w:val="heading 1"/>
    <w:basedOn w:val="Standaard"/>
    <w:next w:val="Standaard"/>
    <w:link w:val="Kop1Char"/>
    <w:uiPriority w:val="9"/>
    <w:qFormat/>
    <w:rsid w:val="001E54C3"/>
    <w:pPr>
      <w:keepNext/>
      <w:keepLines/>
      <w:outlineLvl w:val="0"/>
    </w:pPr>
    <w:rPr>
      <w:rFonts w:eastAsiaTheme="majorEastAsia" w:cstheme="majorBidi"/>
      <w:b/>
      <w:bCs/>
      <w:sz w:val="40"/>
      <w:szCs w:val="28"/>
    </w:rPr>
  </w:style>
  <w:style w:type="paragraph" w:styleId="Kop2">
    <w:name w:val="heading 2"/>
    <w:basedOn w:val="Standaard"/>
    <w:next w:val="Standaard"/>
    <w:link w:val="Kop2Char"/>
    <w:uiPriority w:val="9"/>
    <w:unhideWhenUsed/>
    <w:qFormat/>
    <w:rsid w:val="001E54C3"/>
    <w:pPr>
      <w:keepNext/>
      <w:keepLines/>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1E54C3"/>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1E54C3"/>
    <w:pPr>
      <w:keepNext/>
      <w:keepLines/>
      <w:spacing w:before="200" w:after="120"/>
      <w:outlineLvl w:val="3"/>
    </w:pPr>
    <w:rPr>
      <w:rFonts w:eastAsiaTheme="majorEastAsia" w:cstheme="majorBidi"/>
      <w:b/>
      <w:bCs/>
      <w:iCs/>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sid w:val="001E54C3"/>
    <w:rPr>
      <w:rFonts w:eastAsiaTheme="majorEastAsia" w:cstheme="majorBidi"/>
      <w:b/>
      <w:bCs/>
      <w:sz w:val="40"/>
      <w:szCs w:val="28"/>
    </w:rPr>
  </w:style>
  <w:style w:type="character" w:customStyle="1" w:styleId="Kop2Char">
    <w:name w:val="Kop 2 Char"/>
    <w:basedOn w:val="Standaardalinea-lettertype"/>
    <w:link w:val="Kop2"/>
    <w:uiPriority w:val="9"/>
    <w:rsid w:val="001E54C3"/>
    <w:rPr>
      <w:rFonts w:eastAsiaTheme="majorEastAsia" w:cstheme="majorBidi"/>
      <w:b/>
      <w:bCs/>
      <w:sz w:val="28"/>
      <w:szCs w:val="26"/>
    </w:rPr>
  </w:style>
  <w:style w:type="character" w:customStyle="1" w:styleId="Kop3Char">
    <w:name w:val="Kop 3 Char"/>
    <w:basedOn w:val="Standaardalinea-lettertype"/>
    <w:link w:val="Kop3"/>
    <w:uiPriority w:val="9"/>
    <w:rsid w:val="001E54C3"/>
    <w:rPr>
      <w:rFonts w:eastAsiaTheme="majorEastAsia" w:cstheme="majorBidi"/>
      <w:b/>
      <w:bCs/>
    </w:rPr>
  </w:style>
  <w:style w:type="character" w:customStyle="1" w:styleId="Kop4Char">
    <w:name w:val="Kop 4 Char"/>
    <w:basedOn w:val="Standaardalinea-lettertype"/>
    <w:link w:val="Kop4"/>
    <w:uiPriority w:val="9"/>
    <w:rsid w:val="001E54C3"/>
    <w:rPr>
      <w:rFonts w:eastAsiaTheme="majorEastAsia" w:cstheme="majorBidi"/>
      <w:b/>
      <w:bCs/>
      <w:iCs/>
    </w:rPr>
  </w:style>
  <w:style w:type="paragraph" w:styleId="Voettekst">
    <w:name w:val="footer"/>
    <w:basedOn w:val="Standaard"/>
    <w:link w:val="VoettekstChar"/>
    <w:uiPriority w:val="99"/>
    <w:unhideWhenUsed/>
    <w:rsid w:val="001E54C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E54C3"/>
  </w:style>
  <w:style w:type="table" w:styleId="Tabelraster">
    <w:name w:val="Table Grid"/>
    <w:basedOn w:val="Standaardtabel"/>
    <w:uiPriority w:val="59"/>
    <w:rsid w:val="001E54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E54C3"/>
    <w:rPr>
      <w:color w:val="0000FF"/>
      <w:u w:val="single"/>
    </w:rPr>
  </w:style>
  <w:style w:type="paragraph" w:styleId="Citaat">
    <w:name w:val="Quote"/>
    <w:basedOn w:val="Standaard"/>
    <w:next w:val="Standaard"/>
    <w:link w:val="CitaatChar"/>
    <w:uiPriority w:val="29"/>
    <w:qFormat/>
    <w:rsid w:val="001E54C3"/>
    <w:rPr>
      <w:i/>
      <w:iCs/>
      <w:color w:val="000000" w:themeColor="text1"/>
    </w:rPr>
  </w:style>
  <w:style w:type="character" w:customStyle="1" w:styleId="CitaatChar">
    <w:name w:val="Citaat Char"/>
    <w:basedOn w:val="Standaardalinea-lettertype"/>
    <w:link w:val="Citaat"/>
    <w:uiPriority w:val="29"/>
    <w:rsid w:val="001E54C3"/>
    <w:rPr>
      <w:i/>
      <w:iCs/>
      <w:color w:val="000000" w:themeColor="text1"/>
    </w:rPr>
  </w:style>
  <w:style w:type="character" w:customStyle="1" w:styleId="UnresolvedMention">
    <w:name w:val="Unresolved Mention"/>
    <w:basedOn w:val="Standaardalinea-lettertype"/>
    <w:uiPriority w:val="99"/>
    <w:semiHidden/>
    <w:unhideWhenUsed/>
    <w:rsid w:val="00452ECD"/>
    <w:rPr>
      <w:color w:val="605E5C"/>
      <w:shd w:val="clear" w:color="auto" w:fill="E1DFDD"/>
    </w:rPr>
  </w:style>
  <w:style w:type="paragraph" w:styleId="Normaalweb">
    <w:name w:val="Normal (Web)"/>
    <w:basedOn w:val="Standaard"/>
    <w:uiPriority w:val="99"/>
    <w:unhideWhenUsed/>
    <w:rsid w:val="00F22E45"/>
    <w:pPr>
      <w:spacing w:before="100" w:beforeAutospacing="1" w:after="100" w:afterAutospacing="1" w:line="240" w:lineRule="auto"/>
    </w:pPr>
    <w:rPr>
      <w:rFonts w:ascii="Times New Roman" w:eastAsia="Times New Roman" w:hAnsi="Times New Roman" w:cs="Times New Roman"/>
      <w:sz w:val="24"/>
      <w:szCs w:val="24"/>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pPr>
      <w:spacing w:line="240" w:lineRule="auto"/>
    </w:pPr>
    <w:tblPr>
      <w:tblStyleRowBandSize w:val="1"/>
      <w:tblStyleColBandSize w:val="1"/>
      <w:tblCellMar>
        <w:left w:w="108" w:type="dxa"/>
        <w:right w:w="108" w:type="dxa"/>
      </w:tblCellMar>
    </w:tblPr>
  </w:style>
  <w:style w:type="table" w:customStyle="1" w:styleId="a5">
    <w:basedOn w:val="TableNormal"/>
    <w:pPr>
      <w:spacing w:line="240" w:lineRule="auto"/>
    </w:pPr>
    <w:tblPr>
      <w:tblStyleRowBandSize w:val="1"/>
      <w:tblStyleColBandSize w:val="1"/>
      <w:tblCellMar>
        <w:left w:w="108" w:type="dxa"/>
        <w:right w:w="108" w:type="dxa"/>
      </w:tblCellMar>
    </w:tblPr>
  </w:style>
  <w:style w:type="table" w:customStyle="1" w:styleId="a6">
    <w:basedOn w:val="TableNormal"/>
    <w:pPr>
      <w:spacing w:line="240" w:lineRule="auto"/>
    </w:pPr>
    <w:tblPr>
      <w:tblStyleRowBandSize w:val="1"/>
      <w:tblStyleColBandSize w:val="1"/>
      <w:tblCellMar>
        <w:left w:w="108" w:type="dxa"/>
        <w:right w:w="108" w:type="dxa"/>
      </w:tblCellMar>
    </w:tblPr>
  </w:style>
  <w:style w:type="table" w:customStyle="1" w:styleId="a7">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4319">
      <w:bodyDiv w:val="1"/>
      <w:marLeft w:val="0"/>
      <w:marRight w:val="0"/>
      <w:marTop w:val="0"/>
      <w:marBottom w:val="0"/>
      <w:divBdr>
        <w:top w:val="none" w:sz="0" w:space="0" w:color="auto"/>
        <w:left w:val="none" w:sz="0" w:space="0" w:color="auto"/>
        <w:bottom w:val="none" w:sz="0" w:space="0" w:color="auto"/>
        <w:right w:val="none" w:sz="0" w:space="0" w:color="auto"/>
      </w:divBdr>
    </w:div>
    <w:div w:id="1571230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anderen.be/de-schooltoeslag-voor-het-basisonderwijs-en-het-secundair-onderwijs-groeipakket" TargetMode="External"/><Relationship Id="rId5" Type="http://schemas.openxmlformats.org/officeDocument/2006/relationships/webSettings" Target="webSettings.xml"/><Relationship Id="rId10" Type="http://schemas.openxmlformats.org/officeDocument/2006/relationships/hyperlink" Target="https://www.sint-niklaas.be/onze-dienstverlening/geld-hulp-en-advies/geld/kansenpas" TargetMode="External"/><Relationship Id="rId4" Type="http://schemas.openxmlformats.org/officeDocument/2006/relationships/settings" Target="settings.xml"/><Relationship Id="rId9" Type="http://schemas.openxmlformats.org/officeDocument/2006/relationships/hyperlink" Target="https://onderwijs.vlaanderen.be/lijst-met-gratis-materiaa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oZSlpROJD7l6GhmTu4FUkLhDhg==">CgMxLjA4AHIhMTRLRFZjTTF0MnlhNHNlUnc0bXJhWmVrRFl1cU9FWW9y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1307</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Braem Stina</dc:creator>
  <cp:lastModifiedBy>Leerkracht</cp:lastModifiedBy>
  <cp:revision>4</cp:revision>
  <dcterms:created xsi:type="dcterms:W3CDTF">2023-11-20T14:20:00Z</dcterms:created>
  <dcterms:modified xsi:type="dcterms:W3CDTF">2023-11-21T08:05:00Z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0x010100A535F910FC2E8544A9EBD8B6FEBC9240</vt:lpwstr>
  </property>
</Properties>
</file>